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pPr>
      <w:r>
        <w:drawing>
          <wp:inline xmlns:a="http://schemas.openxmlformats.org/drawingml/2006/main" xmlns:pic="http://schemas.openxmlformats.org/drawingml/2006/picture">
            <wp:extent cx="6629400" cy="658368"/>
            <wp:docPr id="1" name="Picture 1"/>
            <wp:cNvGraphicFramePr>
              <a:graphicFrameLocks noChangeAspect="1"/>
            </wp:cNvGraphicFramePr>
            <a:graphic>
              <a:graphicData uri="http://schemas.openxmlformats.org/drawingml/2006/picture">
                <pic:pic>
                  <pic:nvPicPr>
                    <pic:cNvPr id="0" name="lhi_header_exact.png"/>
                    <pic:cNvPicPr/>
                  </pic:nvPicPr>
                  <pic:blipFill>
                    <a:blip r:embed="rId10"/>
                    <a:stretch>
                      <a:fillRect/>
                    </a:stretch>
                  </pic:blipFill>
                  <pic:spPr>
                    <a:xfrm>
                      <a:off x="0" y="0"/>
                      <a:ext cx="6629400" cy="658368"/>
                    </a:xfrm>
                    <a:prstGeom prst="rect"/>
                  </pic:spPr>
                </pic:pic>
              </a:graphicData>
            </a:graphic>
          </wp:inline>
        </w:drawing>
      </w:r>
    </w:p>
    <w:p>
      <w:pPr>
        <w:pStyle w:val="Title"/>
      </w:pPr>
      <w:r>
        <w:t>From Intelligence to Action</w:t>
      </w:r>
    </w:p>
    <w:p>
      <w:pPr>
        <w:pStyle w:val="Subtitle"/>
        <w:spacing w:after="360"/>
      </w:pPr>
      <w:r>
        <w:t>The Trusted Structure That Turns Longitudinal Understanding Into Care</w:t>
      </w:r>
    </w:p>
    <w:p>
      <w:r>
        <w:rPr>
          <w:b/>
          <w:i w:val="0"/>
        </w:rPr>
        <w:t>A vision is not a system.</w:t>
      </w:r>
    </w:p>
    <w:p>
      <w:r>
        <w:rPr>
          <w:i w:val="0"/>
        </w:rPr>
        <w:t>A healthcare environment capable of longitudinal understanding is not, by itself, capable of acting on that understanding. Something must observe what is happening, interpret what matters, move that understanding to the right place, support an appropriate response, and return the result as new experience.</w:t>
      </w:r>
    </w:p>
    <w:p>
      <w:r>
        <w:rPr>
          <w:i w:val="0"/>
        </w:rPr>
        <w:t>All without losing track of whose body, whose data, whose decision - and who bears the consequence.</w:t>
      </w:r>
    </w:p>
    <w:p>
      <w:r>
        <w:rPr>
          <w:i w:val="0"/>
        </w:rPr>
        <w:t>The challenge, then, is not simply to collect more information or interpret it more intelligently. It is to create a trusted path from observation to understanding, from understanding to action, and from action back to learning.</w:t>
      </w:r>
    </w:p>
    <w:p>
      <w:pPr>
        <w:pStyle w:val="Heading1"/>
        <w:keepNext/>
      </w:pPr>
      <w:r>
        <w:t>Observation</w:t>
      </w:r>
    </w:p>
    <w:p>
      <w:r>
        <w:rPr>
          <w:i w:val="0"/>
        </w:rPr>
        <w:t>Healthcare must first be able to observe meaningful change.</w:t>
      </w:r>
    </w:p>
    <w:p>
      <w:r>
        <w:rPr>
          <w:i w:val="0"/>
        </w:rPr>
        <w:t>That observation may come from wearables, remote monitoring, clinical systems, laboratory information, patient-reported data or future sensing technologies. The source matters less than the continuity it provides.</w:t>
      </w:r>
    </w:p>
    <w:p>
      <w:r>
        <w:rPr>
          <w:i w:val="0"/>
        </w:rPr>
        <w:t>Observation establishes that something has changed. It does not explain why.</w:t>
      </w:r>
    </w:p>
    <w:p>
      <w:r>
        <w:rPr>
          <w:i w:val="0"/>
        </w:rPr>
        <w:t>A signal becomes clinically useful only when understood relative to the individual, the surrounding clinical context and the sequence of events associated with it. The purpose of observation is therefore not simply to detect more. It is to create something worth interpreting.</w:t>
      </w:r>
    </w:p>
    <w:p>
      <w:pPr>
        <w:pStyle w:val="Heading1"/>
        <w:keepNext/>
      </w:pPr>
      <w:r>
        <w:t>Interpretation</w:t>
      </w:r>
    </w:p>
    <w:p>
      <w:r>
        <w:rPr>
          <w:i w:val="0"/>
        </w:rPr>
        <w:t>Interpretation turns observation into understanding.</w:t>
      </w:r>
    </w:p>
    <w:p>
      <w:r>
        <w:rPr>
          <w:i w:val="0"/>
        </w:rPr>
        <w:t>A changing measurement, even when compared with the patient's own history, may have many possible meanings. Its significance depends on what else is happening: treatment, illness, behavior, environment, other physiological changes, prior events and previous outcomes.</w:t>
      </w:r>
    </w:p>
    <w:p>
      <w:r>
        <w:rPr>
          <w:i w:val="0"/>
        </w:rPr>
        <w:t>Longitudinal health intelligence matters because these relationships increasingly extend across time and across sources. The objective is not merely to identify that something is different, but to determine what that difference may mean, how much confidence the interpretation deserves, and whether it matters enough to be carried forward.</w:t>
      </w:r>
    </w:p>
    <w:p>
      <w:r>
        <w:rPr>
          <w:i w:val="0"/>
        </w:rPr>
        <w:t>Even a strong interpretation, however, has no clinical consequence if it remains isolated where it was generated.</w:t>
      </w:r>
    </w:p>
    <w:p>
      <w:pPr>
        <w:pStyle w:val="Heading1"/>
        <w:keepNext/>
      </w:pPr>
      <w:r>
        <w:t>Trusted Exchange</w:t>
      </w:r>
    </w:p>
    <w:p>
      <w:r>
        <w:rPr>
          <w:b/>
          <w:i w:val="0"/>
        </w:rPr>
        <w:t>An answer that cannot travel might as well not exist.</w:t>
      </w:r>
    </w:p>
    <w:p>
      <w:r>
        <w:rPr>
          <w:i w:val="0"/>
        </w:rPr>
        <w:t>Relevant intelligence must move from where it is generated to where it can be evaluated and, when appropriate, acted on. That may require movement across devices, software platforms, institutions, clinicians, care teams and patients.</w:t>
      </w:r>
    </w:p>
    <w:p>
      <w:r>
        <w:rPr>
          <w:i w:val="0"/>
        </w:rPr>
        <w:t>But healthcare cannot treat this as simple data transport. Identity, consent, authorization, provenance and accountability must travel with the information itself.</w:t>
      </w:r>
    </w:p>
    <w:p>
      <w:r>
        <w:rPr>
          <w:i/>
        </w:rPr>
        <w:t>Who generated the information? To whom does it belong? Who is permitted to receive it? What has been validated? What remains uncertain? Who acted on it? What happened afterward?</w:t>
      </w:r>
    </w:p>
    <w:p>
      <w:r>
        <w:rPr>
          <w:i w:val="0"/>
        </w:rPr>
        <w:t>Trusted exchange therefore requires more than interoperability. It requires sufficient confidence in the source, meaning and handling of information for people and systems to rely on it responsibly.</w:t>
      </w:r>
    </w:p>
    <w:p>
      <w:r>
        <w:rPr>
          <w:i w:val="0"/>
        </w:rPr>
        <w:t>Intelligence becomes useful only when it reaches the right place at the right time, with enough context and trust to support the next decision.</w:t>
      </w:r>
    </w:p>
    <w:p>
      <w:pPr>
        <w:pStyle w:val="Heading1"/>
        <w:keepNext/>
      </w:pPr>
      <w:r>
        <w:t>Action</w:t>
      </w:r>
    </w:p>
    <w:p>
      <w:r>
        <w:rPr>
          <w:i w:val="0"/>
        </w:rPr>
        <w:t>Understanding a patient is not the same as helping one.</w:t>
      </w:r>
    </w:p>
    <w:p>
      <w:r>
        <w:rPr>
          <w:i w:val="0"/>
        </w:rPr>
        <w:t>Eventually, what has been learned must be capable of influencing care. That may mean bringing something to a clinician's attention, changing the timing of follow-up, reconsidering a medication, modifying a care plan, ordering further evaluation - or deciding that no action is warranted.</w:t>
      </w:r>
    </w:p>
    <w:p>
      <w:r>
        <w:rPr>
          <w:i w:val="0"/>
        </w:rPr>
        <w:t>But action is not evidence that a system is sophisticated. Action is justified only when the available intelligence is sufficiently reliable, relevant and well understood to support a responsible decision.</w:t>
      </w:r>
    </w:p>
    <w:p>
      <w:r>
        <w:rPr>
          <w:i w:val="0"/>
        </w:rPr>
        <w:t>Before intelligence influences care, there must be sufficient confidence in its meaning, relevance, reliability and provenance - and in the appropriateness of the action it may inform. This becomes increasingly important as artificial intelligence grows more capable of generating recommendations.</w:t>
      </w:r>
    </w:p>
    <w:p>
      <w:r>
        <w:rPr>
          <w:i w:val="0"/>
        </w:rPr>
        <w:t>The ability to recommend does not itself establish the right to recommend. Clinical consequence requires a higher standard than pattern recognition. The greater the potential consequence, the greater the required evidence, oversight and accountability.</w:t>
      </w:r>
    </w:p>
    <w:p>
      <w:pPr>
        <w:pStyle w:val="Heading1"/>
        <w:keepNext/>
      </w:pPr>
      <w:r>
        <w:t>Feedback</w:t>
      </w:r>
    </w:p>
    <w:p>
      <w:r>
        <w:rPr>
          <w:i w:val="0"/>
        </w:rPr>
        <w:t>What happens next should not be the end of the process. It is new information.</w:t>
      </w:r>
    </w:p>
    <w:p>
      <w:r>
        <w:rPr>
          <w:i w:val="0"/>
        </w:rPr>
        <w:t>Did the intervention work? Did the trajectory reverse? Did the patient improve? Was the concern unfounded? Did something unexpected follow?</w:t>
      </w:r>
    </w:p>
    <w:p>
      <w:r>
        <w:rPr>
          <w:i w:val="0"/>
        </w:rPr>
        <w:t>The result belongs back in the same structure that produced the original interpretation.</w:t>
      </w:r>
    </w:p>
    <w:p>
      <w:pPr>
        <w:keepNext w:val="1"/>
      </w:pPr>
      <w:r>
        <w:rPr>
          <w:b/>
          <w:color w:val="173F73"/>
          <w:sz w:val="22"/>
        </w:rPr>
        <w:t>Figure 1.  From Action Back to Learning</w:t>
      </w:r>
    </w:p>
    <w:p>
      <w:pPr>
        <w:keepNext w:val="1"/>
        <w:jc w:val="center"/>
      </w:pPr>
      <w:r>
        <w:rPr>
          <w:i/>
          <w:color w:val="173F73"/>
          <w:sz w:val="18"/>
        </w:rPr>
        <w:t>The consequence of action becomes new experience.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162"/>
        <w:gridCol w:w="1162"/>
        <w:gridCol w:w="1162"/>
        <w:gridCol w:w="1162"/>
        <w:gridCol w:w="1162"/>
        <w:gridCol w:w="1162"/>
        <w:gridCol w:w="1162"/>
        <w:gridCol w:w="1162"/>
        <w:gridCol w:w="1162"/>
      </w:tblGrid>
      <w:tr>
        <w:tc>
          <w:tcPr>
            <w:tcW w:type="dxa" w:w="1224"/>
            <w:tcMar>
              <w:top w:w="70" w:type="dxa"/>
              <w:start w:w="30" w:type="dxa"/>
              <w:bottom w:w="70" w:type="dxa"/>
              <w:end w:w="30" w:type="dxa"/>
            </w:tcMar>
            <w:vAlign w:val="center"/>
            <w:shd w:fill="2F80C9"/>
          </w:tcPr>
          <w:p>
            <w:pPr>
              <w:keepNext w:val="1"/>
              <w:jc w:val="center"/>
            </w:pPr>
            <w:r>
              <w:rPr>
                <w:rFonts w:ascii="Arial" w:hAnsi="Arial"/>
                <w:b/>
                <w:color w:val="FFFFFF"/>
                <w:sz w:val="16"/>
              </w:rPr>
              <w:t>OBSERVE</w:t>
            </w:r>
          </w:p>
        </w:tc>
        <w:tc>
          <w:tcPr>
            <w:tcW w:type="dxa" w:w="317"/>
            <w:tcMar>
              <w:top w:w="70" w:type="dxa"/>
              <w:start w:w="30" w:type="dxa"/>
              <w:bottom w:w="70" w:type="dxa"/>
              <w:end w:w="30" w:type="dxa"/>
            </w:tcMar>
            <w:vAlign w:val="center"/>
          </w:tcPr>
          <w:p>
            <w:pPr>
              <w:keepNext w:val="1"/>
              <w:jc w:val="center"/>
            </w:pPr>
            <w:r>
              <w:rPr>
                <w:rFonts w:ascii="Arial" w:hAnsi="Arial"/>
                <w:b/>
                <w:color w:val="173F73"/>
                <w:sz w:val="16"/>
              </w:rPr>
              <w:t>→</w:t>
            </w:r>
          </w:p>
        </w:tc>
        <w:tc>
          <w:tcPr>
            <w:tcW w:type="dxa" w:w="1512"/>
            <w:tcMar>
              <w:top w:w="70" w:type="dxa"/>
              <w:start w:w="30" w:type="dxa"/>
              <w:bottom w:w="70" w:type="dxa"/>
              <w:end w:w="30" w:type="dxa"/>
            </w:tcMar>
            <w:vAlign w:val="center"/>
            <w:shd w:fill="69A84F"/>
          </w:tcPr>
          <w:p>
            <w:pPr>
              <w:keepNext w:val="1"/>
              <w:jc w:val="center"/>
            </w:pPr>
            <w:r>
              <w:rPr>
                <w:rFonts w:ascii="Arial" w:hAnsi="Arial"/>
                <w:b/>
                <w:color w:val="FFFFFF"/>
                <w:sz w:val="16"/>
              </w:rPr>
              <w:t>INTERPRET</w:t>
            </w:r>
          </w:p>
        </w:tc>
        <w:tc>
          <w:tcPr>
            <w:tcW w:type="dxa" w:w="317"/>
            <w:tcMar>
              <w:top w:w="70" w:type="dxa"/>
              <w:start w:w="30" w:type="dxa"/>
              <w:bottom w:w="70" w:type="dxa"/>
              <w:end w:w="30" w:type="dxa"/>
            </w:tcMar>
            <w:vAlign w:val="center"/>
          </w:tcPr>
          <w:p>
            <w:pPr>
              <w:keepNext w:val="1"/>
              <w:jc w:val="center"/>
            </w:pPr>
            <w:r>
              <w:rPr>
                <w:rFonts w:ascii="Arial" w:hAnsi="Arial"/>
                <w:b/>
                <w:color w:val="173F73"/>
                <w:sz w:val="16"/>
              </w:rPr>
              <w:t>→</w:t>
            </w:r>
          </w:p>
        </w:tc>
        <w:tc>
          <w:tcPr>
            <w:tcW w:type="dxa" w:w="1469"/>
            <w:tcMar>
              <w:top w:w="70" w:type="dxa"/>
              <w:start w:w="30" w:type="dxa"/>
              <w:bottom w:w="70" w:type="dxa"/>
              <w:end w:w="30" w:type="dxa"/>
            </w:tcMar>
            <w:vAlign w:val="center"/>
            <w:shd w:fill="1C9A91"/>
          </w:tcPr>
          <w:p>
            <w:pPr>
              <w:keepNext w:val="1"/>
              <w:jc w:val="center"/>
            </w:pPr>
            <w:r>
              <w:rPr>
                <w:rFonts w:ascii="Arial" w:hAnsi="Arial"/>
                <w:b/>
                <w:color w:val="FFFFFF"/>
                <w:sz w:val="16"/>
              </w:rPr>
              <w:t>EXCHANGE</w:t>
            </w:r>
          </w:p>
        </w:tc>
        <w:tc>
          <w:tcPr>
            <w:tcW w:type="dxa" w:w="317"/>
            <w:tcMar>
              <w:top w:w="70" w:type="dxa"/>
              <w:start w:w="30" w:type="dxa"/>
              <w:bottom w:w="70" w:type="dxa"/>
              <w:end w:w="30" w:type="dxa"/>
            </w:tcMar>
            <w:vAlign w:val="center"/>
          </w:tcPr>
          <w:p>
            <w:pPr>
              <w:keepNext w:val="1"/>
              <w:jc w:val="center"/>
            </w:pPr>
            <w:r>
              <w:rPr>
                <w:rFonts w:ascii="Arial" w:hAnsi="Arial"/>
                <w:b/>
                <w:color w:val="173F73"/>
                <w:sz w:val="16"/>
              </w:rPr>
              <w:t>→</w:t>
            </w:r>
          </w:p>
        </w:tc>
        <w:tc>
          <w:tcPr>
            <w:tcW w:type="dxa" w:w="1037"/>
            <w:tcMar>
              <w:top w:w="70" w:type="dxa"/>
              <w:start w:w="30" w:type="dxa"/>
              <w:bottom w:w="70" w:type="dxa"/>
              <w:end w:w="30" w:type="dxa"/>
            </w:tcMar>
            <w:vAlign w:val="center"/>
            <w:shd w:fill="E9912C"/>
          </w:tcPr>
          <w:p>
            <w:pPr>
              <w:keepNext w:val="1"/>
              <w:jc w:val="center"/>
            </w:pPr>
            <w:r>
              <w:rPr>
                <w:rFonts w:ascii="Arial" w:hAnsi="Arial"/>
                <w:b/>
                <w:color w:val="FFFFFF"/>
                <w:sz w:val="16"/>
              </w:rPr>
              <w:t>ACT</w:t>
            </w:r>
          </w:p>
        </w:tc>
        <w:tc>
          <w:tcPr>
            <w:tcW w:type="dxa" w:w="317"/>
            <w:tcMar>
              <w:top w:w="70" w:type="dxa"/>
              <w:start w:w="30" w:type="dxa"/>
              <w:bottom w:w="70" w:type="dxa"/>
              <w:end w:w="30" w:type="dxa"/>
            </w:tcMar>
            <w:vAlign w:val="center"/>
          </w:tcPr>
          <w:p>
            <w:pPr>
              <w:keepNext w:val="1"/>
              <w:jc w:val="center"/>
            </w:pPr>
            <w:r>
              <w:rPr>
                <w:rFonts w:ascii="Arial" w:hAnsi="Arial"/>
                <w:b/>
                <w:color w:val="173F73"/>
                <w:sz w:val="16"/>
              </w:rPr>
              <w:t>→</w:t>
            </w:r>
          </w:p>
        </w:tc>
        <w:tc>
          <w:tcPr>
            <w:tcW w:type="dxa" w:w="1123"/>
            <w:tcMar>
              <w:top w:w="70" w:type="dxa"/>
              <w:start w:w="30" w:type="dxa"/>
              <w:bottom w:w="70" w:type="dxa"/>
              <w:end w:w="30" w:type="dxa"/>
            </w:tcMar>
            <w:vAlign w:val="center"/>
            <w:shd w:fill="8C5AAA"/>
          </w:tcPr>
          <w:p>
            <w:pPr>
              <w:keepNext w:val="1"/>
              <w:jc w:val="center"/>
            </w:pPr>
            <w:r>
              <w:rPr>
                <w:rFonts w:ascii="Arial" w:hAnsi="Arial"/>
                <w:b/>
                <w:color w:val="FFFFFF"/>
                <w:sz w:val="16"/>
              </w:rPr>
              <w:t>LEARN</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D9EAF7"/>
            <w:tcMar>
              <w:top w:w="55" w:type="dxa"/>
              <w:start w:w="80" w:type="dxa"/>
              <w:bottom w:w="55" w:type="dxa"/>
              <w:end w:w="80" w:type="dxa"/>
            </w:tcMar>
          </w:tcPr>
          <w:p>
            <w:pPr>
              <w:keepNext w:val="1"/>
              <w:jc w:val="center"/>
            </w:pPr>
            <w:r>
              <w:rPr>
                <w:b/>
                <w:color w:val="173F73"/>
                <w:sz w:val="18"/>
              </w:rPr>
              <w:t>LEARN  →  INFORM WHAT HAPPENS NEXT</w:t>
            </w:r>
          </w:p>
        </w:tc>
      </w:tr>
    </w:tbl>
    <w:p>
      <w:r>
        <w:rPr>
          <w:i w:val="0"/>
        </w:rPr>
        <w:t>An outcome does more than document what happened. It changes what is known.</w:t>
      </w:r>
    </w:p>
    <w:p>
      <w:r>
        <w:rPr>
          <w:i w:val="0"/>
        </w:rPr>
        <w:t>For the individual, it becomes part of the patient's longitudinal experience. Across accumulated experience, appropriately governed patterns may also be examined, tested and potentially contribute to broader clinical learning.</w:t>
      </w:r>
    </w:p>
    <w:p>
      <w:r>
        <w:rPr>
          <w:i w:val="0"/>
        </w:rPr>
        <w:t>The loop is therefore not complete when action occurs. It is only complete when the consequence of that action becomes available to inform the next decision.</w:t>
      </w:r>
    </w:p>
    <w:p>
      <w:pPr>
        <w:pStyle w:val="Heading1"/>
        <w:keepNext/>
      </w:pPr>
      <w:r>
        <w:t>Governance</w:t>
      </w:r>
    </w:p>
    <w:p>
      <w:r>
        <w:rPr>
          <w:i w:val="0"/>
        </w:rPr>
        <w:t>Governance is not the final function. It surrounds every function.</w:t>
      </w:r>
    </w:p>
    <w:p>
      <w:r>
        <w:rPr>
          <w:i w:val="0"/>
        </w:rPr>
        <w:t>A system capable of observing, interpreting, exchanging and acting on information about human health must remain accountable for how those capabilities are used.</w:t>
      </w:r>
    </w:p>
    <w:p>
      <w:r>
        <w:rPr>
          <w:i w:val="0"/>
        </w:rPr>
        <w:t>Privacy, consent, authorization, provenance, validation, oversight and accountability are not external constraints placed on the architecture. They are part of what makes it trustworthy.</w:t>
      </w:r>
    </w:p>
    <w:p>
      <w:r>
        <w:rPr>
          <w:i w:val="0"/>
        </w:rPr>
        <w:t>Observation requires appropriate permission. Interpretation requires appropriate validation. Exchange requires identity and provenance. Action requires accountability. Learning requires continued evaluation.</w:t>
      </w:r>
    </w:p>
    <w:p>
      <w:r>
        <w:rPr>
          <w:i w:val="0"/>
        </w:rPr>
        <w:t>As these systems become more capable, they must remain capable of distinguishing what is known from what is uncertain; preserving the basis for important conclusions; tracing what actions followed; evaluating whether their own performance remains worthy of trust.</w:t>
      </w:r>
    </w:p>
    <w:p>
      <w:r>
        <w:rPr>
          <w:b/>
          <w:i w:val="0"/>
        </w:rPr>
        <w:t>Governance does not sit beside the architecture.</w:t>
      </w:r>
    </w:p>
    <w:p>
      <w:r>
        <w:rPr>
          <w:b/>
          <w:i w:val="0"/>
          <w:color w:val="173F73"/>
        </w:rPr>
        <w:t>It establishes the conditions under which the architecture can be trusted to operate.</w:t>
      </w:r>
    </w:p>
    <w:p>
      <w:pPr>
        <w:pStyle w:val="Heading1"/>
        <w:keepNext/>
      </w:pPr>
      <w:r>
        <w:t>One Structure</w:t>
      </w:r>
    </w:p>
    <w:p>
      <w:r>
        <w:rPr>
          <w:i w:val="0"/>
        </w:rPr>
        <w:t>Observation, interpretation, exchange, action and feedback are not independent stages. Each creates the conditions required by the next, while governance operates across them all.</w:t>
      </w:r>
    </w:p>
    <w:p>
      <w:pPr>
        <w:keepNext w:val="1"/>
      </w:pPr>
      <w:r>
        <w:rPr>
          <w:b/>
          <w:color w:val="173F73"/>
          <w:sz w:val="22"/>
        </w:rPr>
        <w:t>Figure 2.  The Trusted Operating Structure</w:t>
      </w:r>
    </w:p>
    <w:p>
      <w:pPr>
        <w:keepNext w:val="1"/>
        <w:jc w:val="center"/>
      </w:pPr>
      <w:r>
        <w:rPr>
          <w:i/>
          <w:color w:val="173F73"/>
          <w:sz w:val="18"/>
        </w:rPr>
        <w:t>Connected functions, governed across the whole.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469"/>
        <w:gridCol w:w="288"/>
        <w:gridCol w:w="1860"/>
        <w:gridCol w:w="288"/>
        <w:gridCol w:w="1613"/>
        <w:gridCol w:w="288"/>
        <w:gridCol w:w="919"/>
        <w:gridCol w:w="288"/>
        <w:gridCol w:w="1296"/>
      </w:tblGrid>
      <w:tr>
        <w:tc>
          <w:tcPr>
            <w:tcW w:type="dxa" w:w="1469"/>
            <w:tcMar>
              <w:top w:w="80" w:type="dxa"/>
              <w:start w:w="20" w:type="dxa"/>
              <w:bottom w:w="80" w:type="dxa"/>
              <w:end w:w="20" w:type="dxa"/>
            </w:tcMar>
            <w:vAlign w:val="center"/>
            <w:shd w:fill="2F80C9"/>
          </w:tcPr>
          <w:p>
            <w:pPr>
              <w:keepNext w:val="1"/>
              <w:jc w:val="center"/>
            </w:pPr>
            <w:r>
              <w:rPr>
                <w:rFonts w:ascii="Arial" w:hAnsi="Arial"/>
                <w:b/>
                <w:color w:val="FFFFFF"/>
                <w:sz w:val="15"/>
              </w:rPr>
              <w:t>OBSERVATION</w:t>
            </w:r>
          </w:p>
        </w:tc>
        <w:tc>
          <w:tcPr>
            <w:tcW w:type="dxa" w:w="288"/>
            <w:tcMar>
              <w:top w:w="80" w:type="dxa"/>
              <w:start w:w="20" w:type="dxa"/>
              <w:bottom w:w="80" w:type="dxa"/>
              <w:end w:w="20" w:type="dxa"/>
            </w:tcMar>
            <w:vAlign w:val="center"/>
          </w:tcPr>
          <w:p>
            <w:pPr>
              <w:keepNext w:val="1"/>
              <w:jc w:val="center"/>
            </w:pPr>
            <w:r>
              <w:rPr>
                <w:rFonts w:ascii="Arial" w:hAnsi="Arial"/>
                <w:b/>
                <w:color w:val="173F73"/>
                <w:sz w:val="15"/>
              </w:rPr>
              <w:t>→</w:t>
            </w:r>
          </w:p>
        </w:tc>
        <w:tc>
          <w:tcPr>
            <w:tcW w:type="dxa" w:w="1860"/>
            <w:tcMar>
              <w:top w:w="80" w:type="dxa"/>
              <w:start w:w="20" w:type="dxa"/>
              <w:bottom w:w="80" w:type="dxa"/>
              <w:end w:w="20" w:type="dxa"/>
            </w:tcMar>
            <w:vAlign w:val="center"/>
            <w:shd w:fill="69A84F"/>
          </w:tcPr>
          <w:p>
            <w:pPr>
              <w:keepNext w:val="1"/>
              <w:jc w:val="center"/>
            </w:pPr>
            <w:r>
              <w:rPr>
                <w:rFonts w:ascii="Arial" w:hAnsi="Arial"/>
                <w:b/>
                <w:color w:val="FFFFFF"/>
                <w:sz w:val="15"/>
              </w:rPr>
              <w:t>INTERPRETATION</w:t>
            </w:r>
          </w:p>
        </w:tc>
        <w:tc>
          <w:tcPr>
            <w:tcW w:type="dxa" w:w="288"/>
            <w:tcMar>
              <w:top w:w="80" w:type="dxa"/>
              <w:start w:w="20" w:type="dxa"/>
              <w:bottom w:w="80" w:type="dxa"/>
              <w:end w:w="20" w:type="dxa"/>
            </w:tcMar>
            <w:vAlign w:val="center"/>
          </w:tcPr>
          <w:p>
            <w:pPr>
              <w:keepNext w:val="1"/>
              <w:jc w:val="center"/>
            </w:pPr>
            <w:r>
              <w:rPr>
                <w:rFonts w:ascii="Arial" w:hAnsi="Arial"/>
                <w:b/>
                <w:color w:val="173F73"/>
                <w:sz w:val="15"/>
              </w:rPr>
              <w:t>→</w:t>
            </w:r>
          </w:p>
        </w:tc>
        <w:tc>
          <w:tcPr>
            <w:tcW w:type="dxa" w:w="1613"/>
            <w:tcMar>
              <w:top w:w="80" w:type="dxa"/>
              <w:start w:w="20" w:type="dxa"/>
              <w:bottom w:w="80" w:type="dxa"/>
              <w:end w:w="20" w:type="dxa"/>
            </w:tcMar>
            <w:vAlign w:val="center"/>
            <w:shd w:fill="1C9A91"/>
          </w:tcPr>
          <w:p>
            <w:pPr>
              <w:keepNext w:val="1"/>
              <w:jc w:val="center"/>
            </w:pPr>
            <w:r>
              <w:rPr>
                <w:rFonts w:ascii="Arial" w:hAnsi="Arial"/>
                <w:b/>
                <w:color w:val="FFFFFF"/>
                <w:sz w:val="15"/>
              </w:rPr>
              <w:t>TRUSTED</w:t>
            </w:r>
            <w:r>
              <w:br/>
            </w:r>
            <w:r>
              <w:rPr>
                <w:rFonts w:ascii="Arial" w:hAnsi="Arial"/>
                <w:b/>
                <w:color w:val="FFFFFF"/>
                <w:sz w:val="15"/>
              </w:rPr>
              <w:t>EXCHANGE</w:t>
            </w:r>
          </w:p>
        </w:tc>
        <w:tc>
          <w:tcPr>
            <w:tcW w:type="dxa" w:w="288"/>
            <w:tcMar>
              <w:top w:w="80" w:type="dxa"/>
              <w:start w:w="20" w:type="dxa"/>
              <w:bottom w:w="80" w:type="dxa"/>
              <w:end w:w="20" w:type="dxa"/>
            </w:tcMar>
            <w:vAlign w:val="center"/>
          </w:tcPr>
          <w:p>
            <w:pPr>
              <w:keepNext w:val="1"/>
              <w:jc w:val="center"/>
            </w:pPr>
            <w:r>
              <w:rPr>
                <w:rFonts w:ascii="Arial" w:hAnsi="Arial"/>
                <w:b/>
                <w:color w:val="173F73"/>
                <w:sz w:val="15"/>
              </w:rPr>
              <w:t>→</w:t>
            </w:r>
          </w:p>
        </w:tc>
        <w:tc>
          <w:tcPr>
            <w:tcW w:type="dxa" w:w="919"/>
            <w:tcMar>
              <w:top w:w="80" w:type="dxa"/>
              <w:start w:w="20" w:type="dxa"/>
              <w:bottom w:w="80" w:type="dxa"/>
              <w:end w:w="20" w:type="dxa"/>
            </w:tcMar>
            <w:vAlign w:val="center"/>
            <w:shd w:fill="E9912C"/>
          </w:tcPr>
          <w:p>
            <w:pPr>
              <w:keepNext w:val="1"/>
              <w:jc w:val="center"/>
            </w:pPr>
            <w:r>
              <w:rPr>
                <w:rFonts w:ascii="Arial" w:hAnsi="Arial"/>
                <w:b/>
                <w:color w:val="FFFFFF"/>
                <w:sz w:val="15"/>
              </w:rPr>
              <w:t>ACTION</w:t>
            </w:r>
          </w:p>
        </w:tc>
        <w:tc>
          <w:tcPr>
            <w:tcW w:type="dxa" w:w="288"/>
            <w:tcMar>
              <w:top w:w="80" w:type="dxa"/>
              <w:start w:w="20" w:type="dxa"/>
              <w:bottom w:w="80" w:type="dxa"/>
              <w:end w:w="20" w:type="dxa"/>
            </w:tcMar>
            <w:vAlign w:val="center"/>
          </w:tcPr>
          <w:p>
            <w:pPr>
              <w:keepNext w:val="1"/>
              <w:jc w:val="center"/>
            </w:pPr>
            <w:r>
              <w:rPr>
                <w:rFonts w:ascii="Arial" w:hAnsi="Arial"/>
                <w:b/>
                <w:color w:val="173F73"/>
                <w:sz w:val="15"/>
              </w:rPr>
              <w:t>→</w:t>
            </w:r>
          </w:p>
        </w:tc>
        <w:tc>
          <w:tcPr>
            <w:tcW w:type="dxa" w:w="1296"/>
            <w:tcMar>
              <w:top w:w="80" w:type="dxa"/>
              <w:start w:w="20" w:type="dxa"/>
              <w:bottom w:w="80" w:type="dxa"/>
              <w:end w:w="20" w:type="dxa"/>
            </w:tcMar>
            <w:vAlign w:val="center"/>
            <w:shd w:fill="8C5AAA"/>
          </w:tcPr>
          <w:p>
            <w:pPr>
              <w:keepNext w:val="1"/>
              <w:jc w:val="center"/>
            </w:pPr>
            <w:r>
              <w:rPr>
                <w:rFonts w:ascii="Arial" w:hAnsi="Arial"/>
                <w:b/>
                <w:color w:val="FFFFFF"/>
                <w:sz w:val="15"/>
              </w:rPr>
              <w:t>FEEDBACK</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454"/>
      </w:tblGrid>
      <w:tr>
        <w:tc>
          <w:tcPr>
            <w:tcW w:type="dxa" w:w="10454"/>
            <w:shd w:fill="173F73"/>
            <w:tcMar>
              <w:top w:w="45" w:type="dxa"/>
              <w:start w:w="80" w:type="dxa"/>
              <w:bottom w:w="45" w:type="dxa"/>
              <w:end w:w="80" w:type="dxa"/>
            </w:tcMar>
          </w:tcPr>
          <w:p>
            <w:pPr>
              <w:keepNext w:val="1"/>
              <w:jc w:val="center"/>
            </w:pPr>
            <w:r>
              <w:rPr>
                <w:b/>
                <w:color w:val="FFFFFF"/>
                <w:sz w:val="19"/>
              </w:rPr>
              <w:t>GOVERNANCE</w:t>
            </w:r>
          </w:p>
        </w:tc>
      </w:tr>
      <w:tr>
        <w:tc>
          <w:tcPr>
            <w:tcW w:type="dxa" w:w="10454"/>
            <w:shd w:fill="D9EAF7"/>
            <w:tcMar>
              <w:top w:w="40" w:type="dxa"/>
              <w:start w:w="60" w:type="dxa"/>
              <w:bottom w:w="40" w:type="dxa"/>
              <w:end w:w="60" w:type="dxa"/>
            </w:tcMar>
          </w:tcPr>
          <w:p>
            <w:pPr>
              <w:keepNext w:val="1"/>
              <w:jc w:val="center"/>
            </w:pPr>
            <w:r>
              <w:rPr>
                <w:color w:val="173F73"/>
                <w:sz w:val="16"/>
              </w:rPr>
              <w:t>Identity  •  Consent  •  Provenance  •  Validation  •  Oversight  •  Accountability</w:t>
            </w:r>
          </w:p>
        </w:tc>
      </w:tr>
    </w:tbl>
    <w:p>
      <w:r>
        <w:rPr>
          <w:i w:val="0"/>
        </w:rPr>
        <w:t>No single system has to perform all of these functions. The important requirement is that the functions remain connected.</w:t>
      </w:r>
    </w:p>
    <w:p>
      <w:r>
        <w:rPr>
          <w:i w:val="0"/>
        </w:rPr>
        <w:t>Together, they create a trusted operating architecture through which longitudinal health intelligence can move from observation to understanding, from understanding to action, and from action back to learning.</w:t>
      </w:r>
    </w:p>
    <w:p>
      <w:r>
        <w:rPr>
          <w:i w:val="0"/>
        </w:rPr>
        <w:t>Healthcare does not become more intelligent simply because it knows more.</w:t>
      </w:r>
    </w:p>
    <w:p>
      <w:r>
        <w:rPr>
          <w:b/>
          <w:i w:val="0"/>
          <w:color w:val="173F73"/>
        </w:rPr>
        <w:t>Healthcare becomes more intelligent when what it knows can responsibly change what happens next - and when what happens next becomes part of what it knows.</w:t>
      </w:r>
    </w:p>
    <w:sectPr w:rsidR="00FC693F" w:rsidRPr="0006063C" w:rsidSect="00034616">
      <w:footerReference w:type="default" r:id="rId9"/>
      <w:pgSz w:w="12240" w:h="15840"/>
      <w:pgMar w:top="691" w:right="893" w:bottom="792" w:left="893"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7781"/>
        <w:sz w:val="15"/>
      </w:rPr>
      <w:t>From Intelligence to Action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414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rial" w:hAnsi="Arial"/>
      <w:b/>
      <w:bCs/>
      <w:color w:val="173F73"/>
      <w:sz w:val="35"/>
      <w:szCs w:val="28"/>
    </w:rPr>
  </w:style>
  <w:style w:type="paragraph" w:styleId="Heading2">
    <w:name w:val="heading 2"/>
    <w:basedOn w:val="Normal"/>
    <w:next w:val="Normal"/>
    <w:link w:val="Heading2Char"/>
    <w:uiPriority w:val="9"/>
    <w:unhideWhenUsed/>
    <w:qFormat/>
    <w:rsid w:val="00FC693F"/>
    <w:pPr>
      <w:keepNext/>
      <w:keepLines/>
      <w:spacing w:before="360" w:after="120"/>
      <w:outlineLvl w:val="1"/>
    </w:pPr>
    <w:rPr>
      <w:rFonts w:asciiTheme="majorHAnsi" w:eastAsiaTheme="majorEastAsia" w:hAnsiTheme="majorHAnsi" w:cstheme="majorBidi" w:ascii="Arial" w:hAnsi="Arial"/>
      <w:b/>
      <w:bCs/>
      <w:color w:val="173F7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173F7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Arial" w:hAnsi="Arial"/>
      <w:b w:val="0"/>
      <w:i/>
      <w:iCs/>
      <w:color w:val="173F73"/>
      <w:spacing w:val="15"/>
      <w:sz w:val="29"/>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