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78C51" w14:textId="77777777" w:rsidR="000F03B0" w:rsidRDefault="00C54930">
      <w:pPr>
        <w:spacing w:after="40"/>
        <w:jc w:val="center"/>
      </w:pPr>
      <w:r>
        <w:rPr>
          <w:noProof/>
        </w:rPr>
        <w:drawing>
          <wp:inline distT="0" distB="0" distL="0" distR="0" wp14:anchorId="55B2DD93" wp14:editId="49EB42D1">
            <wp:extent cx="6629400" cy="65836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ghway_banner_clean.png"/>
                    <pic:cNvPicPr/>
                  </pic:nvPicPr>
                  <pic:blipFill>
                    <a:blip r:embed="rId8"/>
                    <a:stretch>
                      <a:fillRect/>
                    </a:stretch>
                  </pic:blipFill>
                  <pic:spPr>
                    <a:xfrm>
                      <a:off x="0" y="0"/>
                      <a:ext cx="6629400" cy="658368"/>
                    </a:xfrm>
                    <a:prstGeom prst="rect">
                      <a:avLst/>
                    </a:prstGeom>
                  </pic:spPr>
                </pic:pic>
              </a:graphicData>
            </a:graphic>
          </wp:inline>
        </w:drawing>
      </w:r>
    </w:p>
    <w:p w14:paraId="7E7EE254" w14:textId="77777777" w:rsidR="000F03B0" w:rsidRDefault="00C54930">
      <w:pPr>
        <w:spacing w:after="0"/>
      </w:pPr>
      <w:r>
        <w:rPr>
          <w:rFonts w:ascii="Aptos Display" w:hAnsi="Aptos Display"/>
          <w:b/>
          <w:color w:val="123B6D"/>
          <w:sz w:val="44"/>
        </w:rPr>
        <w:t>Longitudinal Health Intelligence</w:t>
      </w:r>
    </w:p>
    <w:p w14:paraId="64BDA7BA" w14:textId="77777777" w:rsidR="000F03B0" w:rsidRDefault="00C54930">
      <w:pPr>
        <w:spacing w:after="100"/>
      </w:pPr>
      <w:r>
        <w:rPr>
          <w:color w:val="123B6D"/>
          <w:sz w:val="24"/>
        </w:rPr>
        <w:t>When Observation, Clinical Context, Intelligence and Experience Converge</w:t>
      </w:r>
    </w:p>
    <w:p w14:paraId="5AD8641C" w14:textId="77777777" w:rsidR="000F03B0" w:rsidRDefault="000F03B0">
      <w:pPr>
        <w:spacing w:after="0"/>
      </w:pPr>
    </w:p>
    <w:p w14:paraId="3A856256" w14:textId="77777777" w:rsidR="000F03B0" w:rsidRDefault="00C54930">
      <w:pPr>
        <w:keepNext/>
        <w:spacing w:before="320" w:after="100"/>
      </w:pPr>
      <w:r>
        <w:rPr>
          <w:b/>
          <w:color w:val="123B6D"/>
          <w:sz w:val="32"/>
        </w:rPr>
        <w:t>A New Possibility for Healthcare</w:t>
      </w:r>
    </w:p>
    <w:p w14:paraId="2A1A40C1" w14:textId="77777777" w:rsidR="000F03B0" w:rsidRDefault="00C54930">
      <w:pPr>
        <w:spacing w:after="100" w:line="264" w:lineRule="auto"/>
      </w:pPr>
      <w:r>
        <w:rPr>
          <w:sz w:val="22"/>
        </w:rPr>
        <w:t>Healthcare is developing capabilities that have largely evolved along separate paths. Continuous and near-continuous technologies can observe patients beyond the clinical encounter. Electronic health records and other clinical systems preserve increasingly extensive histories. Artificial intelligence can reason across volumes of information that exceed practical human review. Interoperability is improving access across previously separated sources. And outcomes can increasingly be connected to the intervent</w:t>
      </w:r>
      <w:r>
        <w:rPr>
          <w:sz w:val="22"/>
        </w:rPr>
        <w:t>ions that preceded them.</w:t>
      </w:r>
    </w:p>
    <w:p w14:paraId="4C32F8D7" w14:textId="77777777" w:rsidR="000F03B0" w:rsidRDefault="00C54930">
      <w:pPr>
        <w:spacing w:after="100" w:line="264" w:lineRule="auto"/>
      </w:pPr>
      <w:r>
        <w:rPr>
          <w:sz w:val="22"/>
        </w:rPr>
        <w:t>Each development is consequential on its own. Their greater significance may lie in what becomes possible when they converge.</w:t>
      </w:r>
    </w:p>
    <w:p w14:paraId="5A8129F1" w14:textId="77777777" w:rsidR="000F03B0" w:rsidRDefault="00C54930">
      <w:pPr>
        <w:spacing w:after="100" w:line="264" w:lineRule="auto"/>
      </w:pPr>
      <w:r>
        <w:rPr>
          <w:sz w:val="22"/>
        </w:rPr>
        <w:t>The opportunity is not simply to collect more information, create a more complete patient record, build a better monitoring system or apply increasingly capable artificial intelligence to existing clinical data. It is to create a healthcare environment capable of developing a longitudinal understanding of the individual, learning from what happens over time, and making accumulated experience useful to what happens next.</w:t>
      </w:r>
    </w:p>
    <w:p w14:paraId="2832FA96" w14:textId="77777777" w:rsidR="000F03B0" w:rsidRDefault="00C54930">
      <w:pPr>
        <w:spacing w:after="100"/>
      </w:pPr>
      <w:r>
        <w:rPr>
          <w:sz w:val="22"/>
        </w:rPr>
        <w:t xml:space="preserve">That capability can be described as </w:t>
      </w:r>
      <w:r>
        <w:rPr>
          <w:b/>
          <w:color w:val="123B6D"/>
          <w:sz w:val="22"/>
        </w:rPr>
        <w:t>longitudinal health intelligence.</w:t>
      </w:r>
    </w:p>
    <w:p w14:paraId="46C425E2" w14:textId="77777777" w:rsidR="000F03B0" w:rsidRDefault="00C54930">
      <w:pPr>
        <w:keepNext/>
        <w:spacing w:before="320" w:after="100"/>
      </w:pPr>
      <w:r>
        <w:rPr>
          <w:b/>
          <w:color w:val="123B6D"/>
          <w:sz w:val="32"/>
        </w:rPr>
        <w:t>Continuous Observation</w:t>
      </w:r>
    </w:p>
    <w:p w14:paraId="6DEE1D53" w14:textId="77777777" w:rsidR="000F03B0" w:rsidRDefault="00C54930">
      <w:pPr>
        <w:spacing w:after="100" w:line="264" w:lineRule="auto"/>
      </w:pPr>
      <w:r>
        <w:rPr>
          <w:sz w:val="22"/>
        </w:rPr>
        <w:t>Healthcare has historically understood patients through episodes. Encounters, laboratory tests, imaging studies and other clinical events provide essential information, but they necessarily describe portions of a life that continues between them.</w:t>
      </w:r>
    </w:p>
    <w:p w14:paraId="62E7EB44" w14:textId="77777777" w:rsidR="000F03B0" w:rsidRDefault="00C54930">
      <w:pPr>
        <w:spacing w:after="100" w:line="264" w:lineRule="auto"/>
      </w:pPr>
      <w:r>
        <w:rPr>
          <w:sz w:val="22"/>
        </w:rPr>
        <w:t>Increasingly, that interval can be observed. Wearable technologies, remote monitoring systems and future sensing capabilities can provide longitudinal information about physiology, function, behavior and other aspects of health outside the traditional clinical setting. The strategic importance is not the device or the frequency of measurement. It is the transition from isolated observation toward understanding change over time.</w:t>
      </w:r>
    </w:p>
    <w:p w14:paraId="7639821E" w14:textId="77777777" w:rsidR="000F03B0" w:rsidRDefault="00C54930">
      <w:pPr>
        <w:spacing w:after="80"/>
      </w:pPr>
      <w:r>
        <w:rPr>
          <w:sz w:val="22"/>
        </w:rPr>
        <w:t xml:space="preserve">The question moves from </w:t>
      </w:r>
      <w:r>
        <w:rPr>
          <w:b/>
          <w:sz w:val="22"/>
        </w:rPr>
        <w:t>what is the patient's condition at this moment?</w:t>
      </w:r>
      <w:r>
        <w:rPr>
          <w:sz w:val="22"/>
        </w:rPr>
        <w:t xml:space="preserve"> toward </w:t>
      </w:r>
      <w:r>
        <w:rPr>
          <w:b/>
          <w:sz w:val="22"/>
        </w:rPr>
        <w:t>how is this patient changing?</w:t>
      </w:r>
    </w:p>
    <w:p w14:paraId="1741A0C0" w14:textId="77777777" w:rsidR="000F03B0" w:rsidRDefault="00C54930">
      <w:pPr>
        <w:spacing w:after="100" w:line="264" w:lineRule="auto"/>
      </w:pPr>
      <w:r>
        <w:rPr>
          <w:sz w:val="22"/>
        </w:rPr>
        <w:t>Repeated observation establishes baseline, variability and trajectory. But observation alone does not explain what those changes mean. It requires context.</w:t>
      </w:r>
    </w:p>
    <w:p w14:paraId="4BC0B64C" w14:textId="77777777" w:rsidR="000F03B0" w:rsidRDefault="00C54930">
      <w:pPr>
        <w:keepNext/>
        <w:spacing w:before="320" w:after="100"/>
      </w:pPr>
      <w:r>
        <w:rPr>
          <w:b/>
          <w:color w:val="123B6D"/>
          <w:sz w:val="32"/>
        </w:rPr>
        <w:t>Clinical Context</w:t>
      </w:r>
    </w:p>
    <w:p w14:paraId="3B1E6590" w14:textId="77777777" w:rsidR="000F03B0" w:rsidRDefault="00C54930">
      <w:pPr>
        <w:spacing w:after="100" w:line="264" w:lineRule="auto"/>
      </w:pPr>
      <w:r>
        <w:rPr>
          <w:sz w:val="22"/>
        </w:rPr>
        <w:t>A physiological change may be important, incidental or entirely expected depending upon what else is happening to the patient. A medication may have changed. A procedure may have occurred. Laboratory findings may have shifted. Symptoms may have appeared. Treatment may have begun. Disease may have progressed. Behavior or circumstances may have changed.</w:t>
      </w:r>
    </w:p>
    <w:p w14:paraId="182B2AFE" w14:textId="77777777" w:rsidR="000F03B0" w:rsidRDefault="00C54930">
      <w:pPr>
        <w:spacing w:after="100" w:line="264" w:lineRule="auto"/>
      </w:pPr>
      <w:r>
        <w:rPr>
          <w:sz w:val="22"/>
        </w:rPr>
        <w:t>The relevant information may reside across EHRs, laboratory systems, monitoring platforms, clinical notes, case-management records, patient communications and other sources.</w:t>
      </w:r>
    </w:p>
    <w:p w14:paraId="4B1D1868" w14:textId="77777777" w:rsidR="000F03B0" w:rsidRDefault="00C54930">
      <w:pPr>
        <w:spacing w:after="100" w:line="264" w:lineRule="auto"/>
      </w:pPr>
      <w:r>
        <w:rPr>
          <w:sz w:val="22"/>
        </w:rPr>
        <w:lastRenderedPageBreak/>
        <w:t>The objective is not necessarily to place all of that information into a single repository. It is to make the relevant information available in relationship to the patient and to time.</w:t>
      </w:r>
    </w:p>
    <w:p w14:paraId="363E2838" w14:textId="77777777" w:rsidR="000F03B0" w:rsidRDefault="00C54930">
      <w:pPr>
        <w:keepNext/>
        <w:spacing w:before="80" w:after="20"/>
      </w:pPr>
      <w:r>
        <w:rPr>
          <w:b/>
          <w:color w:val="123B6D"/>
          <w:sz w:val="22"/>
        </w:rPr>
        <w:t>Figure 1.  The Longitudinal Relationship</w:t>
      </w:r>
    </w:p>
    <w:p w14:paraId="0999CF67" w14:textId="77777777" w:rsidR="000F03B0" w:rsidRDefault="00C54930">
      <w:pPr>
        <w:keepNext/>
        <w:spacing w:after="60"/>
        <w:jc w:val="center"/>
      </w:pPr>
      <w:r>
        <w:rPr>
          <w:i/>
          <w:color w:val="123B6D"/>
        </w:rPr>
        <w:t>Multiple elements, together and over time, create understanding.</w:t>
      </w:r>
    </w:p>
    <w:tbl>
      <w:tblPr>
        <w:tblW w:w="0" w:type="auto"/>
        <w:jc w:val="center"/>
        <w:tblLayout w:type="fixed"/>
        <w:tblLook w:val="04A0" w:firstRow="1" w:lastRow="0" w:firstColumn="1" w:lastColumn="0" w:noHBand="0" w:noVBand="1"/>
      </w:tblPr>
      <w:tblGrid>
        <w:gridCol w:w="1811"/>
        <w:gridCol w:w="1811"/>
        <w:gridCol w:w="1811"/>
        <w:gridCol w:w="1811"/>
        <w:gridCol w:w="1811"/>
        <w:gridCol w:w="1811"/>
        <w:gridCol w:w="1811"/>
        <w:gridCol w:w="1811"/>
        <w:gridCol w:w="1811"/>
      </w:tblGrid>
      <w:tr w:rsidR="000F03B0" w14:paraId="5E67F4DF" w14:textId="77777777">
        <w:trPr>
          <w:jc w:val="center"/>
        </w:trPr>
        <w:tc>
          <w:tcPr>
            <w:tcW w:w="1811" w:type="dxa"/>
            <w:tcBorders>
              <w:top w:val="nil"/>
              <w:left w:val="nil"/>
              <w:bottom w:val="nil"/>
              <w:right w:val="nil"/>
            </w:tcBorders>
            <w:shd w:val="clear" w:color="auto" w:fill="2F80C9"/>
            <w:tcMar>
              <w:top w:w="70" w:type="dxa"/>
              <w:left w:w="35" w:type="dxa"/>
              <w:bottom w:w="70" w:type="dxa"/>
              <w:right w:w="35" w:type="dxa"/>
            </w:tcMar>
          </w:tcPr>
          <w:p w14:paraId="6CB65AD6" w14:textId="77777777" w:rsidR="000F03B0" w:rsidRDefault="00C54930">
            <w:pPr>
              <w:keepNext/>
              <w:jc w:val="center"/>
            </w:pPr>
            <w:r>
              <w:rPr>
                <w:b/>
                <w:color w:val="FFFFFF"/>
                <w:sz w:val="17"/>
              </w:rPr>
              <w:t>PHYSIOLOGY</w:t>
            </w:r>
          </w:p>
        </w:tc>
        <w:tc>
          <w:tcPr>
            <w:tcW w:w="400" w:type="dxa"/>
            <w:tcBorders>
              <w:top w:val="nil"/>
              <w:left w:val="nil"/>
              <w:bottom w:val="nil"/>
              <w:right w:val="nil"/>
            </w:tcBorders>
            <w:tcMar>
              <w:top w:w="70" w:type="dxa"/>
              <w:left w:w="35" w:type="dxa"/>
              <w:bottom w:w="70" w:type="dxa"/>
              <w:right w:w="35" w:type="dxa"/>
            </w:tcMar>
          </w:tcPr>
          <w:p w14:paraId="2AC7BB54" w14:textId="77777777" w:rsidR="000F03B0" w:rsidRDefault="00C54930">
            <w:pPr>
              <w:keepNext/>
              <w:jc w:val="center"/>
            </w:pPr>
            <w:r>
              <w:rPr>
                <w:b/>
                <w:color w:val="123B6D"/>
                <w:sz w:val="17"/>
              </w:rPr>
              <w:t>+</w:t>
            </w:r>
          </w:p>
        </w:tc>
        <w:tc>
          <w:tcPr>
            <w:tcW w:w="1811" w:type="dxa"/>
            <w:tcBorders>
              <w:top w:val="nil"/>
              <w:left w:val="nil"/>
              <w:bottom w:val="nil"/>
              <w:right w:val="nil"/>
            </w:tcBorders>
            <w:shd w:val="clear" w:color="auto" w:fill="6AA84F"/>
            <w:tcMar>
              <w:top w:w="70" w:type="dxa"/>
              <w:left w:w="35" w:type="dxa"/>
              <w:bottom w:w="70" w:type="dxa"/>
              <w:right w:w="35" w:type="dxa"/>
            </w:tcMar>
          </w:tcPr>
          <w:p w14:paraId="4B6A5B75" w14:textId="77777777" w:rsidR="000F03B0" w:rsidRDefault="00C54930">
            <w:pPr>
              <w:keepNext/>
              <w:jc w:val="center"/>
            </w:pPr>
            <w:r>
              <w:rPr>
                <w:b/>
                <w:color w:val="FFFFFF"/>
                <w:sz w:val="17"/>
              </w:rPr>
              <w:t>CLINICAL</w:t>
            </w:r>
            <w:r>
              <w:rPr>
                <w:b/>
                <w:color w:val="FFFFFF"/>
                <w:sz w:val="17"/>
              </w:rPr>
              <w:br/>
              <w:t>CONTEXT</w:t>
            </w:r>
          </w:p>
        </w:tc>
        <w:tc>
          <w:tcPr>
            <w:tcW w:w="400" w:type="dxa"/>
            <w:tcBorders>
              <w:top w:val="nil"/>
              <w:left w:val="nil"/>
              <w:bottom w:val="nil"/>
              <w:right w:val="nil"/>
            </w:tcBorders>
            <w:tcMar>
              <w:top w:w="70" w:type="dxa"/>
              <w:left w:w="35" w:type="dxa"/>
              <w:bottom w:w="70" w:type="dxa"/>
              <w:right w:w="35" w:type="dxa"/>
            </w:tcMar>
          </w:tcPr>
          <w:p w14:paraId="4A437E74" w14:textId="77777777" w:rsidR="000F03B0" w:rsidRDefault="00C54930">
            <w:pPr>
              <w:keepNext/>
              <w:jc w:val="center"/>
            </w:pPr>
            <w:r>
              <w:rPr>
                <w:b/>
                <w:color w:val="123B6D"/>
                <w:sz w:val="17"/>
              </w:rPr>
              <w:t>+</w:t>
            </w:r>
          </w:p>
        </w:tc>
        <w:tc>
          <w:tcPr>
            <w:tcW w:w="1811" w:type="dxa"/>
            <w:tcBorders>
              <w:top w:val="nil"/>
              <w:left w:val="nil"/>
              <w:bottom w:val="nil"/>
              <w:right w:val="nil"/>
            </w:tcBorders>
            <w:shd w:val="clear" w:color="auto" w:fill="E69138"/>
            <w:tcMar>
              <w:top w:w="70" w:type="dxa"/>
              <w:left w:w="35" w:type="dxa"/>
              <w:bottom w:w="70" w:type="dxa"/>
              <w:right w:w="35" w:type="dxa"/>
            </w:tcMar>
          </w:tcPr>
          <w:p w14:paraId="1A571803" w14:textId="77777777" w:rsidR="000F03B0" w:rsidRDefault="00C54930">
            <w:pPr>
              <w:keepNext/>
              <w:jc w:val="center"/>
            </w:pPr>
            <w:r>
              <w:rPr>
                <w:b/>
                <w:color w:val="FFFFFF"/>
                <w:sz w:val="17"/>
              </w:rPr>
              <w:t>INTERVENTION</w:t>
            </w:r>
          </w:p>
        </w:tc>
        <w:tc>
          <w:tcPr>
            <w:tcW w:w="400" w:type="dxa"/>
            <w:tcBorders>
              <w:top w:val="nil"/>
              <w:left w:val="nil"/>
              <w:bottom w:val="nil"/>
              <w:right w:val="nil"/>
            </w:tcBorders>
            <w:tcMar>
              <w:top w:w="70" w:type="dxa"/>
              <w:left w:w="35" w:type="dxa"/>
              <w:bottom w:w="70" w:type="dxa"/>
              <w:right w:w="35" w:type="dxa"/>
            </w:tcMar>
          </w:tcPr>
          <w:p w14:paraId="1A40E5D6" w14:textId="77777777" w:rsidR="000F03B0" w:rsidRDefault="00C54930">
            <w:pPr>
              <w:keepNext/>
              <w:jc w:val="center"/>
            </w:pPr>
            <w:r>
              <w:rPr>
                <w:b/>
                <w:color w:val="123B6D"/>
                <w:sz w:val="17"/>
              </w:rPr>
              <w:t>+</w:t>
            </w:r>
          </w:p>
        </w:tc>
        <w:tc>
          <w:tcPr>
            <w:tcW w:w="1811" w:type="dxa"/>
            <w:tcBorders>
              <w:top w:val="nil"/>
              <w:left w:val="nil"/>
              <w:bottom w:val="nil"/>
              <w:right w:val="nil"/>
            </w:tcBorders>
            <w:shd w:val="clear" w:color="auto" w:fill="8E5AA9"/>
            <w:tcMar>
              <w:top w:w="70" w:type="dxa"/>
              <w:left w:w="35" w:type="dxa"/>
              <w:bottom w:w="70" w:type="dxa"/>
              <w:right w:w="35" w:type="dxa"/>
            </w:tcMar>
          </w:tcPr>
          <w:p w14:paraId="46BE05CE" w14:textId="77777777" w:rsidR="000F03B0" w:rsidRDefault="00C54930">
            <w:pPr>
              <w:keepNext/>
              <w:jc w:val="center"/>
            </w:pPr>
            <w:r>
              <w:rPr>
                <w:b/>
                <w:color w:val="FFFFFF"/>
                <w:sz w:val="17"/>
              </w:rPr>
              <w:t>OUTCOME</w:t>
            </w:r>
          </w:p>
        </w:tc>
        <w:tc>
          <w:tcPr>
            <w:tcW w:w="400" w:type="dxa"/>
            <w:tcBorders>
              <w:top w:val="nil"/>
              <w:left w:val="nil"/>
              <w:bottom w:val="nil"/>
              <w:right w:val="nil"/>
            </w:tcBorders>
            <w:tcMar>
              <w:top w:w="70" w:type="dxa"/>
              <w:left w:w="35" w:type="dxa"/>
              <w:bottom w:w="70" w:type="dxa"/>
              <w:right w:w="35" w:type="dxa"/>
            </w:tcMar>
          </w:tcPr>
          <w:p w14:paraId="02F1791F" w14:textId="77777777" w:rsidR="000F03B0" w:rsidRDefault="00C54930">
            <w:pPr>
              <w:keepNext/>
              <w:jc w:val="center"/>
            </w:pPr>
            <w:r>
              <w:rPr>
                <w:b/>
                <w:color w:val="123B6D"/>
                <w:sz w:val="17"/>
              </w:rPr>
              <w:t>+</w:t>
            </w:r>
          </w:p>
        </w:tc>
        <w:tc>
          <w:tcPr>
            <w:tcW w:w="1811" w:type="dxa"/>
            <w:tcBorders>
              <w:top w:val="nil"/>
              <w:left w:val="nil"/>
              <w:bottom w:val="nil"/>
              <w:right w:val="nil"/>
            </w:tcBorders>
            <w:shd w:val="clear" w:color="auto" w:fill="2F80C9"/>
            <w:tcMar>
              <w:top w:w="70" w:type="dxa"/>
              <w:left w:w="35" w:type="dxa"/>
              <w:bottom w:w="70" w:type="dxa"/>
              <w:right w:w="35" w:type="dxa"/>
            </w:tcMar>
          </w:tcPr>
          <w:p w14:paraId="04C0401B" w14:textId="77777777" w:rsidR="000F03B0" w:rsidRDefault="00C54930">
            <w:pPr>
              <w:keepNext/>
              <w:jc w:val="center"/>
            </w:pPr>
            <w:r>
              <w:rPr>
                <w:b/>
                <w:color w:val="FFFFFF"/>
                <w:sz w:val="17"/>
              </w:rPr>
              <w:t>TIME</w:t>
            </w:r>
          </w:p>
        </w:tc>
      </w:tr>
      <w:tr w:rsidR="000F03B0" w14:paraId="5121266A" w14:textId="77777777">
        <w:trPr>
          <w:jc w:val="center"/>
        </w:trPr>
        <w:tc>
          <w:tcPr>
            <w:tcW w:w="400" w:type="dxa"/>
            <w:tcBorders>
              <w:top w:val="nil"/>
              <w:left w:val="nil"/>
              <w:bottom w:val="nil"/>
              <w:right w:val="nil"/>
            </w:tcBorders>
            <w:tcMar>
              <w:top w:w="35" w:type="dxa"/>
              <w:left w:w="25" w:type="dxa"/>
              <w:bottom w:w="35" w:type="dxa"/>
              <w:right w:w="25" w:type="dxa"/>
            </w:tcMar>
          </w:tcPr>
          <w:p w14:paraId="5529EE29" w14:textId="77777777" w:rsidR="000F03B0" w:rsidRDefault="00C54930">
            <w:pPr>
              <w:keepNext/>
              <w:jc w:val="center"/>
            </w:pPr>
            <w:r>
              <w:rPr>
                <w:color w:val="5B6573"/>
                <w:sz w:val="15"/>
              </w:rPr>
              <w:t>Signals, function,</w:t>
            </w:r>
            <w:r>
              <w:rPr>
                <w:color w:val="5B6573"/>
                <w:sz w:val="15"/>
              </w:rPr>
              <w:br/>
              <w:t>behavior, biology</w:t>
            </w:r>
          </w:p>
        </w:tc>
        <w:tc>
          <w:tcPr>
            <w:tcW w:w="1811" w:type="dxa"/>
            <w:tcBorders>
              <w:top w:val="nil"/>
              <w:left w:val="nil"/>
              <w:bottom w:val="nil"/>
              <w:right w:val="nil"/>
            </w:tcBorders>
            <w:tcMar>
              <w:top w:w="35" w:type="dxa"/>
              <w:left w:w="25" w:type="dxa"/>
              <w:bottom w:w="35" w:type="dxa"/>
              <w:right w:w="25" w:type="dxa"/>
            </w:tcMar>
          </w:tcPr>
          <w:p w14:paraId="44A27FAC" w14:textId="77777777" w:rsidR="000F03B0" w:rsidRDefault="000F03B0">
            <w:pPr>
              <w:keepNext/>
              <w:jc w:val="center"/>
            </w:pPr>
          </w:p>
        </w:tc>
        <w:tc>
          <w:tcPr>
            <w:tcW w:w="400" w:type="dxa"/>
            <w:tcBorders>
              <w:top w:val="nil"/>
              <w:left w:val="nil"/>
              <w:bottom w:val="nil"/>
              <w:right w:val="nil"/>
            </w:tcBorders>
            <w:tcMar>
              <w:top w:w="35" w:type="dxa"/>
              <w:left w:w="25" w:type="dxa"/>
              <w:bottom w:w="35" w:type="dxa"/>
              <w:right w:w="25" w:type="dxa"/>
            </w:tcMar>
          </w:tcPr>
          <w:p w14:paraId="2908CF17" w14:textId="77777777" w:rsidR="000F03B0" w:rsidRDefault="00C54930">
            <w:pPr>
              <w:keepNext/>
              <w:jc w:val="center"/>
            </w:pPr>
            <w:r>
              <w:rPr>
                <w:color w:val="5B6573"/>
                <w:sz w:val="15"/>
              </w:rPr>
              <w:t>History, events,</w:t>
            </w:r>
            <w:r>
              <w:rPr>
                <w:color w:val="5B6573"/>
                <w:sz w:val="15"/>
              </w:rPr>
              <w:br/>
              <w:t>care setting</w:t>
            </w:r>
          </w:p>
        </w:tc>
        <w:tc>
          <w:tcPr>
            <w:tcW w:w="1811" w:type="dxa"/>
            <w:tcBorders>
              <w:top w:val="nil"/>
              <w:left w:val="nil"/>
              <w:bottom w:val="nil"/>
              <w:right w:val="nil"/>
            </w:tcBorders>
            <w:tcMar>
              <w:top w:w="35" w:type="dxa"/>
              <w:left w:w="25" w:type="dxa"/>
              <w:bottom w:w="35" w:type="dxa"/>
              <w:right w:w="25" w:type="dxa"/>
            </w:tcMar>
          </w:tcPr>
          <w:p w14:paraId="51FD6485" w14:textId="77777777" w:rsidR="000F03B0" w:rsidRDefault="000F03B0">
            <w:pPr>
              <w:keepNext/>
              <w:jc w:val="center"/>
            </w:pPr>
          </w:p>
        </w:tc>
        <w:tc>
          <w:tcPr>
            <w:tcW w:w="400" w:type="dxa"/>
            <w:tcBorders>
              <w:top w:val="nil"/>
              <w:left w:val="nil"/>
              <w:bottom w:val="nil"/>
              <w:right w:val="nil"/>
            </w:tcBorders>
            <w:tcMar>
              <w:top w:w="35" w:type="dxa"/>
              <w:left w:w="25" w:type="dxa"/>
              <w:bottom w:w="35" w:type="dxa"/>
              <w:right w:w="25" w:type="dxa"/>
            </w:tcMar>
          </w:tcPr>
          <w:p w14:paraId="010620E1" w14:textId="77777777" w:rsidR="000F03B0" w:rsidRDefault="00C54930">
            <w:pPr>
              <w:keepNext/>
              <w:jc w:val="center"/>
            </w:pPr>
            <w:r>
              <w:rPr>
                <w:color w:val="5B6573"/>
                <w:sz w:val="15"/>
              </w:rPr>
              <w:t>Treatment,</w:t>
            </w:r>
            <w:r>
              <w:rPr>
                <w:color w:val="5B6573"/>
                <w:sz w:val="15"/>
              </w:rPr>
              <w:br/>
              <w:t>procedure, action</w:t>
            </w:r>
          </w:p>
        </w:tc>
        <w:tc>
          <w:tcPr>
            <w:tcW w:w="1811" w:type="dxa"/>
            <w:tcBorders>
              <w:top w:val="nil"/>
              <w:left w:val="nil"/>
              <w:bottom w:val="nil"/>
              <w:right w:val="nil"/>
            </w:tcBorders>
            <w:tcMar>
              <w:top w:w="35" w:type="dxa"/>
              <w:left w:w="25" w:type="dxa"/>
              <w:bottom w:w="35" w:type="dxa"/>
              <w:right w:w="25" w:type="dxa"/>
            </w:tcMar>
          </w:tcPr>
          <w:p w14:paraId="6328140E" w14:textId="77777777" w:rsidR="000F03B0" w:rsidRDefault="000F03B0">
            <w:pPr>
              <w:keepNext/>
              <w:jc w:val="center"/>
            </w:pPr>
          </w:p>
        </w:tc>
        <w:tc>
          <w:tcPr>
            <w:tcW w:w="400" w:type="dxa"/>
            <w:tcBorders>
              <w:top w:val="nil"/>
              <w:left w:val="nil"/>
              <w:bottom w:val="nil"/>
              <w:right w:val="nil"/>
            </w:tcBorders>
            <w:tcMar>
              <w:top w:w="35" w:type="dxa"/>
              <w:left w:w="25" w:type="dxa"/>
              <w:bottom w:w="35" w:type="dxa"/>
              <w:right w:w="25" w:type="dxa"/>
            </w:tcMar>
          </w:tcPr>
          <w:p w14:paraId="13963F65" w14:textId="77777777" w:rsidR="000F03B0" w:rsidRDefault="00C54930">
            <w:pPr>
              <w:keepNext/>
              <w:jc w:val="center"/>
            </w:pPr>
            <w:r>
              <w:rPr>
                <w:color w:val="5B6573"/>
                <w:sz w:val="15"/>
              </w:rPr>
              <w:t>Response,</w:t>
            </w:r>
            <w:r>
              <w:rPr>
                <w:color w:val="5B6573"/>
                <w:sz w:val="15"/>
              </w:rPr>
              <w:br/>
              <w:t>results, progression</w:t>
            </w:r>
          </w:p>
        </w:tc>
        <w:tc>
          <w:tcPr>
            <w:tcW w:w="1811" w:type="dxa"/>
            <w:tcBorders>
              <w:top w:val="nil"/>
              <w:left w:val="nil"/>
              <w:bottom w:val="nil"/>
              <w:right w:val="nil"/>
            </w:tcBorders>
            <w:tcMar>
              <w:top w:w="35" w:type="dxa"/>
              <w:left w:w="25" w:type="dxa"/>
              <w:bottom w:w="35" w:type="dxa"/>
              <w:right w:w="25" w:type="dxa"/>
            </w:tcMar>
          </w:tcPr>
          <w:p w14:paraId="060AD0A0" w14:textId="77777777" w:rsidR="000F03B0" w:rsidRDefault="000F03B0">
            <w:pPr>
              <w:keepNext/>
              <w:jc w:val="center"/>
            </w:pPr>
          </w:p>
        </w:tc>
        <w:tc>
          <w:tcPr>
            <w:tcW w:w="400" w:type="dxa"/>
            <w:tcBorders>
              <w:top w:val="nil"/>
              <w:left w:val="nil"/>
              <w:bottom w:val="nil"/>
              <w:right w:val="nil"/>
            </w:tcBorders>
            <w:tcMar>
              <w:top w:w="35" w:type="dxa"/>
              <w:left w:w="25" w:type="dxa"/>
              <w:bottom w:w="35" w:type="dxa"/>
              <w:right w:w="25" w:type="dxa"/>
            </w:tcMar>
          </w:tcPr>
          <w:p w14:paraId="67F22FD0" w14:textId="77777777" w:rsidR="000F03B0" w:rsidRDefault="00C54930">
            <w:pPr>
              <w:keepNext/>
              <w:jc w:val="center"/>
            </w:pPr>
            <w:r>
              <w:rPr>
                <w:color w:val="5B6573"/>
                <w:sz w:val="15"/>
              </w:rPr>
              <w:t>Sequence,</w:t>
            </w:r>
            <w:r>
              <w:rPr>
                <w:color w:val="5B6573"/>
                <w:sz w:val="15"/>
              </w:rPr>
              <w:br/>
              <w:t>frequency, trajectory</w:t>
            </w:r>
          </w:p>
        </w:tc>
      </w:tr>
    </w:tbl>
    <w:p w14:paraId="7FCB80E7" w14:textId="77777777" w:rsidR="000F03B0" w:rsidRDefault="00C54930">
      <w:pPr>
        <w:spacing w:before="40" w:after="100"/>
        <w:jc w:val="center"/>
      </w:pPr>
      <w:r>
        <w:rPr>
          <w:b/>
          <w:color w:val="123B6D"/>
          <w:sz w:val="22"/>
        </w:rPr>
        <w:t>LONGITUDINAL UNDERSTANDING OF THE INDIVIDUAL  →</w:t>
      </w:r>
    </w:p>
    <w:p w14:paraId="3D1D1A4D" w14:textId="77777777" w:rsidR="000F03B0" w:rsidRDefault="00C54930">
      <w:pPr>
        <w:spacing w:after="100" w:line="264" w:lineRule="auto"/>
      </w:pPr>
      <w:r>
        <w:rPr>
          <w:sz w:val="22"/>
        </w:rPr>
        <w:t>Time establishes sequence and allows relationships to become visible.</w:t>
      </w:r>
    </w:p>
    <w:p w14:paraId="2086C388" w14:textId="77777777" w:rsidR="000F03B0" w:rsidRDefault="00C54930">
      <w:pPr>
        <w:spacing w:after="100" w:line="264" w:lineRule="auto"/>
      </w:pPr>
      <w:r>
        <w:rPr>
          <w:sz w:val="22"/>
        </w:rPr>
        <w:t>A medication change followed by a physiological change, followed by symptoms, followed by an intervention and subsequent improvement is fundamentally different information from five unrelated entries in five different systems.</w:t>
      </w:r>
    </w:p>
    <w:p w14:paraId="6D07FDCA" w14:textId="77777777" w:rsidR="000F03B0" w:rsidRDefault="00C54930">
      <w:pPr>
        <w:spacing w:after="100"/>
      </w:pPr>
      <w:r>
        <w:rPr>
          <w:sz w:val="22"/>
        </w:rPr>
        <w:t xml:space="preserve">The data may be the same. </w:t>
      </w:r>
      <w:r>
        <w:rPr>
          <w:b/>
          <w:color w:val="123B6D"/>
          <w:sz w:val="22"/>
        </w:rPr>
        <w:t>The understanding is not.</w:t>
      </w:r>
    </w:p>
    <w:p w14:paraId="66A00FDD" w14:textId="77777777" w:rsidR="000F03B0" w:rsidRDefault="00C54930">
      <w:pPr>
        <w:keepNext/>
        <w:spacing w:before="320" w:after="100"/>
      </w:pPr>
      <w:r>
        <w:rPr>
          <w:b/>
          <w:color w:val="123B6D"/>
          <w:sz w:val="32"/>
        </w:rPr>
        <w:t>Longitudinal Understanding of the Individual</w:t>
      </w:r>
    </w:p>
    <w:p w14:paraId="258D7744" w14:textId="77777777" w:rsidR="000F03B0" w:rsidRDefault="00C54930">
      <w:pPr>
        <w:spacing w:after="100" w:line="264" w:lineRule="auto"/>
      </w:pPr>
      <w:r>
        <w:rPr>
          <w:sz w:val="22"/>
        </w:rPr>
        <w:t>Once observation and clinical context are connected through time, the patient increasingly becomes his or her own historical comparator. Population evidence remains fundamental to medicine. Longitudinal intelligence adds another dimension: the accumulated experience of the individual.</w:t>
      </w:r>
    </w:p>
    <w:p w14:paraId="3F252759" w14:textId="77777777" w:rsidR="000F03B0" w:rsidRDefault="00C54930">
      <w:pPr>
        <w:spacing w:after="100" w:line="264" w:lineRule="auto"/>
      </w:pPr>
      <w:r>
        <w:rPr>
          <w:sz w:val="22"/>
        </w:rPr>
        <w:t>What is normal for this patient? What has changed? Is the current trajectory unusual? Has something similar happened before? What was occurring when it happened? What followed? How did the patient respond?</w:t>
      </w:r>
    </w:p>
    <w:p w14:paraId="0F634B4A" w14:textId="77777777" w:rsidR="000F03B0" w:rsidRDefault="00C54930">
      <w:pPr>
        <w:spacing w:after="100" w:line="264" w:lineRule="auto"/>
      </w:pPr>
      <w:r>
        <w:rPr>
          <w:sz w:val="22"/>
        </w:rPr>
        <w:t>The objective is not to create a perfect computational replica of the patient or to suggest that individual history should replace established clinical evidence. It is to preserve enough continuity that each new event can be understood in relation to what is already known about that individual.</w:t>
      </w:r>
    </w:p>
    <w:p w14:paraId="6F4C1412" w14:textId="77777777" w:rsidR="000F03B0" w:rsidRDefault="00C54930">
      <w:pPr>
        <w:keepNext/>
        <w:spacing w:before="320" w:after="100"/>
      </w:pPr>
      <w:r>
        <w:rPr>
          <w:b/>
          <w:color w:val="123B6D"/>
          <w:sz w:val="32"/>
        </w:rPr>
        <w:t>Intelligence Across Time</w:t>
      </w:r>
    </w:p>
    <w:p w14:paraId="54AAED99" w14:textId="77777777" w:rsidR="000F03B0" w:rsidRDefault="00C54930">
      <w:pPr>
        <w:spacing w:after="100" w:line="264" w:lineRule="auto"/>
      </w:pPr>
      <w:r>
        <w:rPr>
          <w:sz w:val="22"/>
        </w:rPr>
        <w:t>As the volume and complexity of that history increase, artificial intelligence becomes increasingly important. Its most consequential role in this architecture is not simply summarizing records or automating administrative work. It is the ability to reason across sources, relationships and time at a scale that exceeds unaided human review.</w:t>
      </w:r>
    </w:p>
    <w:p w14:paraId="3C69F88C" w14:textId="77777777" w:rsidR="000F03B0" w:rsidRDefault="00C54930">
      <w:pPr>
        <w:spacing w:after="100" w:line="264" w:lineRule="auto"/>
      </w:pPr>
      <w:r>
        <w:rPr>
          <w:sz w:val="22"/>
        </w:rPr>
        <w:t>The objective is not to transfer clinical judgment to an algorithm. It is to make the relevant history and accumulated experience available when clinical judgment is exercised.</w:t>
      </w:r>
    </w:p>
    <w:p w14:paraId="4870F743" w14:textId="77777777" w:rsidR="000F03B0" w:rsidRDefault="00C54930">
      <w:pPr>
        <w:spacing w:after="100" w:line="264" w:lineRule="auto"/>
      </w:pPr>
      <w:r>
        <w:rPr>
          <w:sz w:val="22"/>
        </w:rPr>
        <w:t>AI models themselves will continue to change. Today's leading model will not be tomorrow's. The more durable asset is the organized longitudinal experience against which increasingly capable intelligence can reason.</w:t>
      </w:r>
    </w:p>
    <w:p w14:paraId="30CAAE77" w14:textId="77777777" w:rsidR="000F03B0" w:rsidRDefault="00C54930">
      <w:pPr>
        <w:keepNext/>
        <w:spacing w:before="320" w:after="100"/>
      </w:pPr>
      <w:r>
        <w:rPr>
          <w:b/>
          <w:color w:val="123B6D"/>
          <w:sz w:val="32"/>
        </w:rPr>
        <w:t>Closing the Loop</w:t>
      </w:r>
    </w:p>
    <w:p w14:paraId="6A93DEFF" w14:textId="77777777" w:rsidR="000F03B0" w:rsidRDefault="00C54930">
      <w:pPr>
        <w:spacing w:after="100" w:line="264" w:lineRule="auto"/>
      </w:pPr>
      <w:r>
        <w:rPr>
          <w:sz w:val="22"/>
        </w:rPr>
        <w:t>Observation, context and interpretation still do not create a learning system. Healthcare learns only when what was done remains connected to what happened afterward.</w:t>
      </w:r>
    </w:p>
    <w:p w14:paraId="45DEDFB0" w14:textId="77777777" w:rsidR="000F03B0" w:rsidRDefault="00C54930">
      <w:pPr>
        <w:keepNext/>
        <w:spacing w:before="80" w:after="20"/>
      </w:pPr>
      <w:r>
        <w:rPr>
          <w:b/>
          <w:color w:val="123B6D"/>
          <w:sz w:val="22"/>
        </w:rPr>
        <w:lastRenderedPageBreak/>
        <w:t>Figure 2.  The Learning Loop</w:t>
      </w:r>
    </w:p>
    <w:p w14:paraId="123830DE" w14:textId="77777777" w:rsidR="000F03B0" w:rsidRDefault="00C54930">
      <w:pPr>
        <w:keepNext/>
        <w:spacing w:after="60"/>
        <w:jc w:val="center"/>
      </w:pPr>
      <w:r>
        <w:rPr>
          <w:i/>
          <w:color w:val="123B6D"/>
        </w:rPr>
        <w:t>From observation to experience to validated learning.</w:t>
      </w:r>
    </w:p>
    <w:tbl>
      <w:tblPr>
        <w:tblW w:w="0" w:type="auto"/>
        <w:jc w:val="center"/>
        <w:tblLayout w:type="fixed"/>
        <w:tblLook w:val="04A0" w:firstRow="1" w:lastRow="0" w:firstColumn="1" w:lastColumn="0" w:noHBand="0" w:noVBand="1"/>
      </w:tblPr>
      <w:tblGrid>
        <w:gridCol w:w="1184"/>
        <w:gridCol w:w="1184"/>
        <w:gridCol w:w="1184"/>
        <w:gridCol w:w="1184"/>
        <w:gridCol w:w="1184"/>
        <w:gridCol w:w="1184"/>
        <w:gridCol w:w="1184"/>
        <w:gridCol w:w="1184"/>
        <w:gridCol w:w="1184"/>
      </w:tblGrid>
      <w:tr w:rsidR="000F03B0" w14:paraId="2E4A5C54" w14:textId="77777777">
        <w:trPr>
          <w:jc w:val="center"/>
        </w:trPr>
        <w:tc>
          <w:tcPr>
            <w:tcW w:w="1184" w:type="dxa"/>
            <w:tcBorders>
              <w:top w:val="nil"/>
              <w:left w:val="nil"/>
              <w:bottom w:val="nil"/>
              <w:right w:val="nil"/>
            </w:tcBorders>
            <w:shd w:val="clear" w:color="auto" w:fill="2F80C9"/>
            <w:tcMar>
              <w:top w:w="100" w:type="dxa"/>
              <w:left w:w="25" w:type="dxa"/>
              <w:bottom w:w="100" w:type="dxa"/>
              <w:right w:w="25" w:type="dxa"/>
            </w:tcMar>
          </w:tcPr>
          <w:p w14:paraId="10B76488" w14:textId="77777777" w:rsidR="000F03B0" w:rsidRDefault="00C54930">
            <w:pPr>
              <w:keepNext/>
              <w:jc w:val="center"/>
            </w:pPr>
            <w:r>
              <w:rPr>
                <w:b/>
                <w:color w:val="FFFFFF"/>
                <w:sz w:val="16"/>
              </w:rPr>
              <w:t>OBSERVATION</w:t>
            </w:r>
          </w:p>
        </w:tc>
        <w:tc>
          <w:tcPr>
            <w:tcW w:w="1184" w:type="dxa"/>
            <w:tcBorders>
              <w:top w:val="nil"/>
              <w:left w:val="nil"/>
              <w:bottom w:val="nil"/>
              <w:right w:val="nil"/>
            </w:tcBorders>
            <w:tcMar>
              <w:top w:w="100" w:type="dxa"/>
              <w:left w:w="25" w:type="dxa"/>
              <w:bottom w:w="100" w:type="dxa"/>
              <w:right w:w="25" w:type="dxa"/>
            </w:tcMar>
          </w:tcPr>
          <w:p w14:paraId="66986B81" w14:textId="77777777" w:rsidR="000F03B0" w:rsidRDefault="00C54930">
            <w:pPr>
              <w:keepNext/>
              <w:jc w:val="center"/>
            </w:pPr>
            <w:r>
              <w:rPr>
                <w:b/>
                <w:color w:val="123B6D"/>
                <w:sz w:val="16"/>
              </w:rPr>
              <w:t>→</w:t>
            </w:r>
          </w:p>
        </w:tc>
        <w:tc>
          <w:tcPr>
            <w:tcW w:w="1184" w:type="dxa"/>
            <w:tcBorders>
              <w:top w:val="nil"/>
              <w:left w:val="nil"/>
              <w:bottom w:val="nil"/>
              <w:right w:val="nil"/>
            </w:tcBorders>
            <w:shd w:val="clear" w:color="auto" w:fill="6AA84F"/>
            <w:tcMar>
              <w:top w:w="100" w:type="dxa"/>
              <w:left w:w="25" w:type="dxa"/>
              <w:bottom w:w="100" w:type="dxa"/>
              <w:right w:w="25" w:type="dxa"/>
            </w:tcMar>
          </w:tcPr>
          <w:p w14:paraId="00611340" w14:textId="77777777" w:rsidR="000F03B0" w:rsidRDefault="00C54930">
            <w:pPr>
              <w:keepNext/>
              <w:jc w:val="center"/>
            </w:pPr>
            <w:r>
              <w:rPr>
                <w:b/>
                <w:color w:val="FFFFFF"/>
                <w:sz w:val="16"/>
              </w:rPr>
              <w:t>INTERPRETATION</w:t>
            </w:r>
          </w:p>
        </w:tc>
        <w:tc>
          <w:tcPr>
            <w:tcW w:w="1184" w:type="dxa"/>
            <w:tcBorders>
              <w:top w:val="nil"/>
              <w:left w:val="nil"/>
              <w:bottom w:val="nil"/>
              <w:right w:val="nil"/>
            </w:tcBorders>
            <w:tcMar>
              <w:top w:w="100" w:type="dxa"/>
              <w:left w:w="25" w:type="dxa"/>
              <w:bottom w:w="100" w:type="dxa"/>
              <w:right w:w="25" w:type="dxa"/>
            </w:tcMar>
          </w:tcPr>
          <w:p w14:paraId="272C3A7F" w14:textId="77777777" w:rsidR="000F03B0" w:rsidRDefault="00C54930">
            <w:pPr>
              <w:keepNext/>
              <w:jc w:val="center"/>
            </w:pPr>
            <w:r>
              <w:rPr>
                <w:b/>
                <w:color w:val="123B6D"/>
                <w:sz w:val="16"/>
              </w:rPr>
              <w:t>→</w:t>
            </w:r>
          </w:p>
        </w:tc>
        <w:tc>
          <w:tcPr>
            <w:tcW w:w="1184" w:type="dxa"/>
            <w:tcBorders>
              <w:top w:val="nil"/>
              <w:left w:val="nil"/>
              <w:bottom w:val="nil"/>
              <w:right w:val="nil"/>
            </w:tcBorders>
            <w:shd w:val="clear" w:color="auto" w:fill="E69138"/>
            <w:tcMar>
              <w:top w:w="100" w:type="dxa"/>
              <w:left w:w="25" w:type="dxa"/>
              <w:bottom w:w="100" w:type="dxa"/>
              <w:right w:w="25" w:type="dxa"/>
            </w:tcMar>
          </w:tcPr>
          <w:p w14:paraId="66CCCF1C" w14:textId="77777777" w:rsidR="000F03B0" w:rsidRDefault="00C54930">
            <w:pPr>
              <w:keepNext/>
              <w:jc w:val="center"/>
            </w:pPr>
            <w:r>
              <w:rPr>
                <w:b/>
                <w:color w:val="FFFFFF"/>
                <w:sz w:val="16"/>
              </w:rPr>
              <w:t>INTERVENTION</w:t>
            </w:r>
          </w:p>
        </w:tc>
        <w:tc>
          <w:tcPr>
            <w:tcW w:w="1184" w:type="dxa"/>
            <w:tcBorders>
              <w:top w:val="nil"/>
              <w:left w:val="nil"/>
              <w:bottom w:val="nil"/>
              <w:right w:val="nil"/>
            </w:tcBorders>
            <w:tcMar>
              <w:top w:w="100" w:type="dxa"/>
              <w:left w:w="25" w:type="dxa"/>
              <w:bottom w:w="100" w:type="dxa"/>
              <w:right w:w="25" w:type="dxa"/>
            </w:tcMar>
          </w:tcPr>
          <w:p w14:paraId="5A325D81" w14:textId="77777777" w:rsidR="000F03B0" w:rsidRDefault="00C54930">
            <w:pPr>
              <w:keepNext/>
              <w:jc w:val="center"/>
            </w:pPr>
            <w:r>
              <w:rPr>
                <w:b/>
                <w:color w:val="123B6D"/>
                <w:sz w:val="16"/>
              </w:rPr>
              <w:t>→</w:t>
            </w:r>
          </w:p>
        </w:tc>
        <w:tc>
          <w:tcPr>
            <w:tcW w:w="1184" w:type="dxa"/>
            <w:tcBorders>
              <w:top w:val="nil"/>
              <w:left w:val="nil"/>
              <w:bottom w:val="nil"/>
              <w:right w:val="nil"/>
            </w:tcBorders>
            <w:shd w:val="clear" w:color="auto" w:fill="8E5AA9"/>
            <w:tcMar>
              <w:top w:w="100" w:type="dxa"/>
              <w:left w:w="25" w:type="dxa"/>
              <w:bottom w:w="100" w:type="dxa"/>
              <w:right w:w="25" w:type="dxa"/>
            </w:tcMar>
          </w:tcPr>
          <w:p w14:paraId="593A1320" w14:textId="77777777" w:rsidR="000F03B0" w:rsidRDefault="00C54930">
            <w:pPr>
              <w:keepNext/>
              <w:jc w:val="center"/>
            </w:pPr>
            <w:r>
              <w:rPr>
                <w:b/>
                <w:color w:val="FFFFFF"/>
                <w:sz w:val="16"/>
              </w:rPr>
              <w:t>OUTCOME</w:t>
            </w:r>
          </w:p>
        </w:tc>
        <w:tc>
          <w:tcPr>
            <w:tcW w:w="1184" w:type="dxa"/>
            <w:tcBorders>
              <w:top w:val="nil"/>
              <w:left w:val="nil"/>
              <w:bottom w:val="nil"/>
              <w:right w:val="nil"/>
            </w:tcBorders>
            <w:tcMar>
              <w:top w:w="100" w:type="dxa"/>
              <w:left w:w="25" w:type="dxa"/>
              <w:bottom w:w="100" w:type="dxa"/>
              <w:right w:w="25" w:type="dxa"/>
            </w:tcMar>
          </w:tcPr>
          <w:p w14:paraId="23FC96BB" w14:textId="77777777" w:rsidR="000F03B0" w:rsidRDefault="00C54930">
            <w:pPr>
              <w:keepNext/>
              <w:jc w:val="center"/>
            </w:pPr>
            <w:r>
              <w:rPr>
                <w:b/>
                <w:color w:val="123B6D"/>
                <w:sz w:val="16"/>
              </w:rPr>
              <w:t>→</w:t>
            </w:r>
          </w:p>
        </w:tc>
        <w:tc>
          <w:tcPr>
            <w:tcW w:w="1184" w:type="dxa"/>
            <w:tcBorders>
              <w:top w:val="nil"/>
              <w:left w:val="nil"/>
              <w:bottom w:val="nil"/>
              <w:right w:val="nil"/>
            </w:tcBorders>
            <w:shd w:val="clear" w:color="auto" w:fill="169B91"/>
            <w:tcMar>
              <w:top w:w="100" w:type="dxa"/>
              <w:left w:w="25" w:type="dxa"/>
              <w:bottom w:w="100" w:type="dxa"/>
              <w:right w:w="25" w:type="dxa"/>
            </w:tcMar>
          </w:tcPr>
          <w:p w14:paraId="2C2F5130" w14:textId="77777777" w:rsidR="000F03B0" w:rsidRDefault="00C54930">
            <w:pPr>
              <w:keepNext/>
              <w:jc w:val="center"/>
            </w:pPr>
            <w:r>
              <w:rPr>
                <w:b/>
                <w:color w:val="FFFFFF"/>
                <w:sz w:val="16"/>
              </w:rPr>
              <w:t>EXPERIENCE</w:t>
            </w:r>
          </w:p>
        </w:tc>
      </w:tr>
    </w:tbl>
    <w:tbl>
      <w:tblPr>
        <w:tblW w:w="0" w:type="auto"/>
        <w:jc w:val="center"/>
        <w:tblLook w:val="04A0" w:firstRow="1" w:lastRow="0" w:firstColumn="1" w:lastColumn="0" w:noHBand="0" w:noVBand="1"/>
      </w:tblPr>
      <w:tblGrid>
        <w:gridCol w:w="3552"/>
        <w:gridCol w:w="3552"/>
        <w:gridCol w:w="3552"/>
      </w:tblGrid>
      <w:tr w:rsidR="000F03B0" w14:paraId="0D8B4508" w14:textId="77777777">
        <w:trPr>
          <w:jc w:val="center"/>
        </w:trPr>
        <w:tc>
          <w:tcPr>
            <w:tcW w:w="3552" w:type="dxa"/>
            <w:tcBorders>
              <w:top w:val="nil"/>
              <w:left w:val="nil"/>
              <w:bottom w:val="nil"/>
              <w:right w:val="nil"/>
            </w:tcBorders>
            <w:shd w:val="clear" w:color="auto" w:fill="D7EAF7"/>
            <w:tcMar>
              <w:top w:w="70" w:type="dxa"/>
              <w:left w:w="60" w:type="dxa"/>
              <w:bottom w:w="70" w:type="dxa"/>
              <w:right w:w="60" w:type="dxa"/>
            </w:tcMar>
          </w:tcPr>
          <w:p w14:paraId="75C4DDB3" w14:textId="77777777" w:rsidR="000F03B0" w:rsidRDefault="00C54930">
            <w:pPr>
              <w:keepNext/>
              <w:jc w:val="center"/>
            </w:pPr>
            <w:r>
              <w:rPr>
                <w:color w:val="123B6D"/>
                <w:sz w:val="16"/>
              </w:rPr>
              <w:t>↖  Informs future</w:t>
            </w:r>
            <w:r>
              <w:rPr>
                <w:color w:val="123B6D"/>
                <w:sz w:val="16"/>
              </w:rPr>
              <w:br/>
              <w:t>interpretation</w:t>
            </w:r>
          </w:p>
        </w:tc>
        <w:tc>
          <w:tcPr>
            <w:tcW w:w="3552" w:type="dxa"/>
            <w:tcBorders>
              <w:top w:val="nil"/>
              <w:left w:val="nil"/>
              <w:bottom w:val="nil"/>
              <w:right w:val="nil"/>
            </w:tcBorders>
            <w:shd w:val="clear" w:color="auto" w:fill="123B6D"/>
            <w:tcMar>
              <w:top w:w="70" w:type="dxa"/>
              <w:left w:w="60" w:type="dxa"/>
              <w:bottom w:w="70" w:type="dxa"/>
              <w:right w:w="60" w:type="dxa"/>
            </w:tcMar>
          </w:tcPr>
          <w:p w14:paraId="1C7A1E68" w14:textId="77777777" w:rsidR="000F03B0" w:rsidRDefault="00C54930">
            <w:pPr>
              <w:keepNext/>
              <w:jc w:val="center"/>
            </w:pPr>
            <w:r>
              <w:rPr>
                <w:b/>
                <w:color w:val="FFFFFF"/>
                <w:sz w:val="16"/>
              </w:rPr>
              <w:t>VALIDATION &amp; LEARNING</w:t>
            </w:r>
            <w:r>
              <w:rPr>
                <w:b/>
                <w:color w:val="FFFFFF"/>
                <w:sz w:val="16"/>
              </w:rPr>
              <w:br/>
              <w:t>Individual + collective experience</w:t>
            </w:r>
          </w:p>
        </w:tc>
        <w:tc>
          <w:tcPr>
            <w:tcW w:w="3552" w:type="dxa"/>
            <w:tcBorders>
              <w:top w:val="nil"/>
              <w:left w:val="nil"/>
              <w:bottom w:val="nil"/>
              <w:right w:val="nil"/>
            </w:tcBorders>
            <w:shd w:val="clear" w:color="auto" w:fill="D7EAF7"/>
            <w:tcMar>
              <w:top w:w="70" w:type="dxa"/>
              <w:left w:w="60" w:type="dxa"/>
              <w:bottom w:w="70" w:type="dxa"/>
              <w:right w:w="60" w:type="dxa"/>
            </w:tcMar>
          </w:tcPr>
          <w:p w14:paraId="13ED315C" w14:textId="77777777" w:rsidR="000F03B0" w:rsidRDefault="00C54930">
            <w:pPr>
              <w:keepNext/>
              <w:jc w:val="center"/>
            </w:pPr>
            <w:r>
              <w:rPr>
                <w:color w:val="123B6D"/>
                <w:sz w:val="16"/>
              </w:rPr>
              <w:t>Contributes to broader</w:t>
            </w:r>
            <w:r>
              <w:rPr>
                <w:color w:val="123B6D"/>
                <w:sz w:val="16"/>
              </w:rPr>
              <w:br/>
              <w:t>clinical understanding  ↗</w:t>
            </w:r>
          </w:p>
        </w:tc>
      </w:tr>
    </w:tbl>
    <w:p w14:paraId="32E3F6A2" w14:textId="77777777" w:rsidR="000F03B0" w:rsidRDefault="00C54930">
      <w:pPr>
        <w:spacing w:after="100" w:line="264" w:lineRule="auto"/>
      </w:pPr>
      <w:r>
        <w:rPr>
          <w:sz w:val="22"/>
        </w:rPr>
        <w:t>The outcome is essential. A pattern followed by an intervention but disconnected from its subsequent outcome remains an incomplete episode. When the outcome is observed and returned to the longitudinal history, the episode becomes experience.</w:t>
      </w:r>
    </w:p>
    <w:p w14:paraId="6E797D90" w14:textId="77777777" w:rsidR="000F03B0" w:rsidRDefault="00C54930">
      <w:pPr>
        <w:spacing w:after="100"/>
      </w:pPr>
      <w:r>
        <w:rPr>
          <w:b/>
          <w:color w:val="123B6D"/>
          <w:sz w:val="22"/>
        </w:rPr>
        <w:t>The system does not simply accumulate more data. It accumulates experience.</w:t>
      </w:r>
    </w:p>
    <w:p w14:paraId="45D2FFEA" w14:textId="77777777" w:rsidR="000F03B0" w:rsidRDefault="00C54930">
      <w:pPr>
        <w:keepNext/>
        <w:spacing w:before="320" w:after="100"/>
      </w:pPr>
      <w:r>
        <w:rPr>
          <w:b/>
          <w:color w:val="123B6D"/>
          <w:sz w:val="32"/>
        </w:rPr>
        <w:t>From Experience to Validated Learning</w:t>
      </w:r>
    </w:p>
    <w:p w14:paraId="4AB07E90" w14:textId="77777777" w:rsidR="000F03B0" w:rsidRDefault="00C54930">
      <w:pPr>
        <w:spacing w:after="100" w:line="264" w:lineRule="auto"/>
      </w:pPr>
      <w:r>
        <w:rPr>
          <w:sz w:val="22"/>
        </w:rPr>
        <w:t>Accumulating experience does not automatically produce knowledge. Healthcare data contain correlations, coincidences, confounders and relationships that may appear meaningful without being clinically useful. Increasing computational power will make finding patterns progressively easier. That makes validation more important, not less.</w:t>
      </w:r>
    </w:p>
    <w:p w14:paraId="6FF429E2" w14:textId="77777777" w:rsidR="000F03B0" w:rsidRDefault="00C54930">
      <w:pPr>
        <w:spacing w:after="100" w:line="264" w:lineRule="auto"/>
      </w:pPr>
      <w:r>
        <w:rPr>
          <w:sz w:val="22"/>
        </w:rPr>
        <w:t>The practical unit of progress is not necessarily another data point or another algorithmic correlation. It is a relationship that has survived sufficient scrutiny to become useful knowledge.</w:t>
      </w:r>
    </w:p>
    <w:p w14:paraId="04F7BF90" w14:textId="77777777" w:rsidR="000F03B0" w:rsidRDefault="00C54930">
      <w:pPr>
        <w:spacing w:after="100" w:line="264" w:lineRule="auto"/>
      </w:pPr>
      <w:r>
        <w:rPr>
          <w:sz w:val="22"/>
        </w:rPr>
        <w:t>Learning can operate at two complementary levels: the individual, where a patient's own experience informs future care; and the collective, where appropriately governed and validated experience contributes to broader clinical understanding.</w:t>
      </w:r>
    </w:p>
    <w:p w14:paraId="2F7C9F8D" w14:textId="77777777" w:rsidR="000F03B0" w:rsidRDefault="00C54930">
      <w:pPr>
        <w:keepNext/>
        <w:spacing w:before="320" w:after="100"/>
      </w:pPr>
      <w:r>
        <w:rPr>
          <w:b/>
          <w:color w:val="123B6D"/>
          <w:sz w:val="32"/>
        </w:rPr>
        <w:t>The Convergence</w:t>
      </w:r>
    </w:p>
    <w:p w14:paraId="5B01AC74" w14:textId="77777777" w:rsidR="000F03B0" w:rsidRDefault="00C54930">
      <w:pPr>
        <w:spacing w:after="100" w:line="264" w:lineRule="auto"/>
      </w:pPr>
      <w:r>
        <w:rPr>
          <w:sz w:val="22"/>
        </w:rPr>
        <w:t>None of these capabilities is sufficient independently. Continuous observation without clinical context produces measurements. Clinical information without longitudinal organization produces records. Artificial intelligence without sufficiently organized experience can identify relationships without establishing their clinical significance. Intervention without observed outcome leaves the learning loop incomplete. Experience without validation risks turning correlation into presumed knowledge.</w:t>
      </w:r>
    </w:p>
    <w:p w14:paraId="6A41BBE0" w14:textId="77777777" w:rsidR="000F03B0" w:rsidRDefault="00C54930">
      <w:pPr>
        <w:spacing w:after="100" w:line="264" w:lineRule="auto"/>
      </w:pPr>
      <w:r>
        <w:rPr>
          <w:sz w:val="22"/>
        </w:rPr>
        <w:t>Their convergence creates something different.</w:t>
      </w:r>
    </w:p>
    <w:p w14:paraId="76D16321" w14:textId="77777777" w:rsidR="000F03B0" w:rsidRDefault="00C54930">
      <w:pPr>
        <w:keepNext/>
        <w:spacing w:before="80" w:after="20"/>
      </w:pPr>
      <w:r>
        <w:rPr>
          <w:b/>
          <w:color w:val="123B6D"/>
          <w:sz w:val="22"/>
        </w:rPr>
        <w:t>Figure 3.  The Convergence</w:t>
      </w:r>
    </w:p>
    <w:p w14:paraId="59D4D243" w14:textId="77777777" w:rsidR="000F03B0" w:rsidRDefault="00C54930">
      <w:pPr>
        <w:keepNext/>
        <w:spacing w:after="60"/>
        <w:jc w:val="center"/>
      </w:pPr>
      <w:r>
        <w:rPr>
          <w:i/>
          <w:color w:val="123B6D"/>
        </w:rPr>
        <w:t>Six capabilities working together create longitudinal health intelligence.</w:t>
      </w:r>
    </w:p>
    <w:tbl>
      <w:tblPr>
        <w:tblW w:w="0" w:type="auto"/>
        <w:jc w:val="center"/>
        <w:tblLayout w:type="fixed"/>
        <w:tblLook w:val="04A0" w:firstRow="1" w:lastRow="0" w:firstColumn="1" w:lastColumn="0" w:noHBand="0" w:noVBand="1"/>
      </w:tblPr>
      <w:tblGrid>
        <w:gridCol w:w="3552"/>
        <w:gridCol w:w="3552"/>
        <w:gridCol w:w="3552"/>
      </w:tblGrid>
      <w:tr w:rsidR="000F03B0" w14:paraId="0EA447FF" w14:textId="77777777">
        <w:trPr>
          <w:jc w:val="center"/>
        </w:trPr>
        <w:tc>
          <w:tcPr>
            <w:tcW w:w="3552" w:type="dxa"/>
            <w:tcBorders>
              <w:top w:val="nil"/>
              <w:left w:val="nil"/>
              <w:bottom w:val="nil"/>
              <w:right w:val="nil"/>
            </w:tcBorders>
            <w:shd w:val="clear" w:color="auto" w:fill="2F80C9"/>
            <w:tcMar>
              <w:top w:w="85" w:type="dxa"/>
              <w:left w:w="70" w:type="dxa"/>
              <w:bottom w:w="85" w:type="dxa"/>
              <w:right w:w="70" w:type="dxa"/>
            </w:tcMar>
          </w:tcPr>
          <w:p w14:paraId="5493361F" w14:textId="77777777" w:rsidR="000F03B0" w:rsidRDefault="00C54930">
            <w:pPr>
              <w:keepNext/>
              <w:jc w:val="center"/>
            </w:pPr>
            <w:r>
              <w:rPr>
                <w:b/>
                <w:color w:val="FFFFFF"/>
                <w:sz w:val="17"/>
              </w:rPr>
              <w:t>CONTINUOUS OBSERVATION  →</w:t>
            </w:r>
          </w:p>
        </w:tc>
        <w:tc>
          <w:tcPr>
            <w:tcW w:w="3552" w:type="dxa"/>
            <w:tcBorders>
              <w:top w:val="nil"/>
              <w:left w:val="nil"/>
              <w:bottom w:val="nil"/>
              <w:right w:val="nil"/>
            </w:tcBorders>
            <w:shd w:val="clear" w:color="auto" w:fill="123B6D"/>
            <w:tcMar>
              <w:top w:w="85" w:type="dxa"/>
              <w:left w:w="70" w:type="dxa"/>
              <w:bottom w:w="85" w:type="dxa"/>
              <w:right w:w="70" w:type="dxa"/>
            </w:tcMar>
          </w:tcPr>
          <w:p w14:paraId="2E901EAD" w14:textId="77777777" w:rsidR="000F03B0" w:rsidRDefault="000F03B0">
            <w:pPr>
              <w:keepNext/>
            </w:pPr>
          </w:p>
        </w:tc>
        <w:tc>
          <w:tcPr>
            <w:tcW w:w="3552" w:type="dxa"/>
            <w:tcBorders>
              <w:top w:val="nil"/>
              <w:left w:val="nil"/>
              <w:bottom w:val="nil"/>
              <w:right w:val="nil"/>
            </w:tcBorders>
            <w:shd w:val="clear" w:color="auto" w:fill="8E5AA9"/>
            <w:tcMar>
              <w:top w:w="85" w:type="dxa"/>
              <w:left w:w="70" w:type="dxa"/>
              <w:bottom w:w="85" w:type="dxa"/>
              <w:right w:w="70" w:type="dxa"/>
            </w:tcMar>
          </w:tcPr>
          <w:p w14:paraId="69F59D66" w14:textId="77777777" w:rsidR="000F03B0" w:rsidRDefault="00C54930">
            <w:pPr>
              <w:keepNext/>
              <w:jc w:val="center"/>
            </w:pPr>
            <w:r>
              <w:rPr>
                <w:b/>
                <w:color w:val="FFFFFF"/>
                <w:sz w:val="17"/>
              </w:rPr>
              <w:t>←  AI-ASSISTED INTERPRETATION</w:t>
            </w:r>
          </w:p>
        </w:tc>
      </w:tr>
      <w:tr w:rsidR="000F03B0" w14:paraId="3EC0C307" w14:textId="77777777">
        <w:trPr>
          <w:jc w:val="center"/>
        </w:trPr>
        <w:tc>
          <w:tcPr>
            <w:tcW w:w="3552" w:type="dxa"/>
            <w:tcBorders>
              <w:top w:val="nil"/>
              <w:left w:val="nil"/>
              <w:bottom w:val="nil"/>
              <w:right w:val="nil"/>
            </w:tcBorders>
            <w:shd w:val="clear" w:color="auto" w:fill="6AA84F"/>
            <w:tcMar>
              <w:top w:w="85" w:type="dxa"/>
              <w:left w:w="70" w:type="dxa"/>
              <w:bottom w:w="85" w:type="dxa"/>
              <w:right w:w="70" w:type="dxa"/>
            </w:tcMar>
          </w:tcPr>
          <w:p w14:paraId="4F6AB15E" w14:textId="77777777" w:rsidR="000F03B0" w:rsidRDefault="00C54930">
            <w:pPr>
              <w:keepNext/>
              <w:jc w:val="center"/>
            </w:pPr>
            <w:r>
              <w:rPr>
                <w:b/>
                <w:color w:val="FFFFFF"/>
                <w:sz w:val="17"/>
              </w:rPr>
              <w:t>CLINICAL CONTEXT  →</w:t>
            </w:r>
          </w:p>
        </w:tc>
        <w:tc>
          <w:tcPr>
            <w:tcW w:w="3552" w:type="dxa"/>
            <w:tcBorders>
              <w:top w:val="nil"/>
              <w:left w:val="nil"/>
              <w:bottom w:val="nil"/>
              <w:right w:val="nil"/>
            </w:tcBorders>
            <w:shd w:val="clear" w:color="auto" w:fill="123B6D"/>
            <w:tcMar>
              <w:top w:w="85" w:type="dxa"/>
              <w:left w:w="70" w:type="dxa"/>
              <w:bottom w:w="85" w:type="dxa"/>
              <w:right w:w="70" w:type="dxa"/>
            </w:tcMar>
          </w:tcPr>
          <w:p w14:paraId="4B2331AC" w14:textId="77777777" w:rsidR="000F03B0" w:rsidRDefault="00C54930">
            <w:pPr>
              <w:keepNext/>
              <w:jc w:val="center"/>
            </w:pPr>
            <w:r>
              <w:rPr>
                <w:b/>
                <w:color w:val="FFFFFF"/>
                <w:sz w:val="24"/>
              </w:rPr>
              <w:t>LONGITUDINAL</w:t>
            </w:r>
            <w:r>
              <w:rPr>
                <w:b/>
                <w:color w:val="FFFFFF"/>
                <w:sz w:val="24"/>
              </w:rPr>
              <w:br/>
              <w:t>HEALTH</w:t>
            </w:r>
            <w:r>
              <w:rPr>
                <w:b/>
                <w:color w:val="FFFFFF"/>
                <w:sz w:val="24"/>
              </w:rPr>
              <w:br/>
              <w:t>INTELLIGENCE</w:t>
            </w:r>
          </w:p>
        </w:tc>
        <w:tc>
          <w:tcPr>
            <w:tcW w:w="3552" w:type="dxa"/>
            <w:tcBorders>
              <w:top w:val="nil"/>
              <w:left w:val="nil"/>
              <w:bottom w:val="nil"/>
              <w:right w:val="nil"/>
            </w:tcBorders>
            <w:shd w:val="clear" w:color="auto" w:fill="169B91"/>
            <w:tcMar>
              <w:top w:w="85" w:type="dxa"/>
              <w:left w:w="70" w:type="dxa"/>
              <w:bottom w:w="85" w:type="dxa"/>
              <w:right w:w="70" w:type="dxa"/>
            </w:tcMar>
          </w:tcPr>
          <w:p w14:paraId="20357B1D" w14:textId="77777777" w:rsidR="000F03B0" w:rsidRDefault="00C54930">
            <w:pPr>
              <w:keepNext/>
              <w:jc w:val="center"/>
            </w:pPr>
            <w:r>
              <w:rPr>
                <w:b/>
                <w:color w:val="FFFFFF"/>
                <w:sz w:val="17"/>
              </w:rPr>
              <w:t>←  INTERVENTION &amp; OUTCOME</w:t>
            </w:r>
          </w:p>
        </w:tc>
      </w:tr>
      <w:tr w:rsidR="000F03B0" w14:paraId="560535A1" w14:textId="77777777">
        <w:trPr>
          <w:jc w:val="center"/>
        </w:trPr>
        <w:tc>
          <w:tcPr>
            <w:tcW w:w="3552" w:type="dxa"/>
            <w:tcBorders>
              <w:top w:val="nil"/>
              <w:left w:val="nil"/>
              <w:bottom w:val="nil"/>
              <w:right w:val="nil"/>
            </w:tcBorders>
            <w:shd w:val="clear" w:color="auto" w:fill="E69138"/>
            <w:tcMar>
              <w:top w:w="85" w:type="dxa"/>
              <w:left w:w="70" w:type="dxa"/>
              <w:bottom w:w="85" w:type="dxa"/>
              <w:right w:w="70" w:type="dxa"/>
            </w:tcMar>
          </w:tcPr>
          <w:p w14:paraId="0406C5EE" w14:textId="77777777" w:rsidR="000F03B0" w:rsidRDefault="00C54930">
            <w:pPr>
              <w:keepNext/>
              <w:jc w:val="center"/>
            </w:pPr>
            <w:r>
              <w:rPr>
                <w:b/>
                <w:color w:val="FFFFFF"/>
                <w:sz w:val="17"/>
              </w:rPr>
              <w:t>LONGITUDINAL UNDERSTANDING  →</w:t>
            </w:r>
          </w:p>
        </w:tc>
        <w:tc>
          <w:tcPr>
            <w:tcW w:w="3552" w:type="dxa"/>
            <w:tcBorders>
              <w:top w:val="nil"/>
              <w:left w:val="nil"/>
              <w:bottom w:val="nil"/>
              <w:right w:val="nil"/>
            </w:tcBorders>
            <w:shd w:val="clear" w:color="auto" w:fill="123B6D"/>
            <w:tcMar>
              <w:top w:w="85" w:type="dxa"/>
              <w:left w:w="70" w:type="dxa"/>
              <w:bottom w:w="85" w:type="dxa"/>
              <w:right w:w="70" w:type="dxa"/>
            </w:tcMar>
          </w:tcPr>
          <w:p w14:paraId="12E3DB89" w14:textId="77777777" w:rsidR="000F03B0" w:rsidRDefault="000F03B0">
            <w:pPr>
              <w:keepNext/>
            </w:pPr>
          </w:p>
        </w:tc>
        <w:tc>
          <w:tcPr>
            <w:tcW w:w="3552" w:type="dxa"/>
            <w:tcBorders>
              <w:top w:val="nil"/>
              <w:left w:val="nil"/>
              <w:bottom w:val="nil"/>
              <w:right w:val="nil"/>
            </w:tcBorders>
            <w:shd w:val="clear" w:color="auto" w:fill="2F80C9"/>
            <w:tcMar>
              <w:top w:w="85" w:type="dxa"/>
              <w:left w:w="70" w:type="dxa"/>
              <w:bottom w:w="85" w:type="dxa"/>
              <w:right w:w="70" w:type="dxa"/>
            </w:tcMar>
          </w:tcPr>
          <w:p w14:paraId="4A69C05B" w14:textId="77777777" w:rsidR="000F03B0" w:rsidRDefault="00C54930">
            <w:pPr>
              <w:keepNext/>
              <w:jc w:val="center"/>
            </w:pPr>
            <w:r>
              <w:rPr>
                <w:b/>
                <w:color w:val="FFFFFF"/>
                <w:sz w:val="17"/>
              </w:rPr>
              <w:t>←  VALIDATED LEARNING</w:t>
            </w:r>
          </w:p>
        </w:tc>
      </w:tr>
    </w:tbl>
    <w:p w14:paraId="20E741C6" w14:textId="77777777" w:rsidR="000F03B0" w:rsidRDefault="00C54930">
      <w:pPr>
        <w:spacing w:before="60" w:after="100"/>
        <w:jc w:val="center"/>
      </w:pPr>
      <w:r>
        <w:rPr>
          <w:b/>
          <w:color w:val="123B6D"/>
          <w:sz w:val="19"/>
        </w:rPr>
        <w:t>Understanding the individual  •  Learning from experience  •  Informing what happens next</w:t>
      </w:r>
    </w:p>
    <w:p w14:paraId="62D30C10" w14:textId="77777777" w:rsidR="000F03B0" w:rsidRDefault="00C54930">
      <w:pPr>
        <w:spacing w:after="100" w:line="264" w:lineRule="auto"/>
      </w:pPr>
      <w:r>
        <w:rPr>
          <w:sz w:val="22"/>
        </w:rPr>
        <w:lastRenderedPageBreak/>
        <w:t>The significance of the convergence is not merely additive. A physiological signal becomes more useful when interpreted in clinical context. Clinical history becomes more useful when connected with what happened between encounters. Artificial intelligence becomes more clinically relevant when it can reason across longitudinal experience. An intervention becomes more informative when its outcome is observed. An outcome becomes more valuable when it contributes to future understanding.</w:t>
      </w:r>
    </w:p>
    <w:p w14:paraId="5582B86C" w14:textId="77777777" w:rsidR="000F03B0" w:rsidRDefault="00C54930">
      <w:pPr>
        <w:spacing w:after="100"/>
      </w:pPr>
      <w:r>
        <w:rPr>
          <w:b/>
          <w:color w:val="123B6D"/>
          <w:sz w:val="22"/>
        </w:rPr>
        <w:t>The value of each capability increases because the others exist.</w:t>
      </w:r>
    </w:p>
    <w:p w14:paraId="12E9F5AF" w14:textId="77777777" w:rsidR="000F03B0" w:rsidRDefault="00C54930">
      <w:pPr>
        <w:keepNext/>
        <w:spacing w:before="320" w:after="100"/>
      </w:pPr>
      <w:r>
        <w:rPr>
          <w:b/>
          <w:color w:val="123B6D"/>
          <w:sz w:val="32"/>
        </w:rPr>
        <w:t>An Architecture, Not a Product</w:t>
      </w:r>
    </w:p>
    <w:p w14:paraId="3482E403" w14:textId="77777777" w:rsidR="000F03B0" w:rsidRDefault="00C54930">
      <w:pPr>
        <w:spacing w:after="100" w:line="264" w:lineRule="auto"/>
      </w:pPr>
      <w:r>
        <w:rPr>
          <w:sz w:val="22"/>
        </w:rPr>
        <w:t>No single technology needs to accomplish all of this. Indeed, it is unlikely that one should. Sensing technologies will evolve. Clinical systems will change. AI models will improve. New sources of information will emerge. Different institutions will adopt different technical architectures, governance structures and methods of integration.</w:t>
      </w:r>
    </w:p>
    <w:p w14:paraId="1C720BBA" w14:textId="77777777" w:rsidR="000F03B0" w:rsidRDefault="00C54930">
      <w:pPr>
        <w:spacing w:after="100" w:line="264" w:lineRule="auto"/>
      </w:pPr>
      <w:r>
        <w:rPr>
          <w:sz w:val="22"/>
        </w:rPr>
        <w:t>The enduring requirement is not a particular technology stack. It is the ability to preserve the relationships among observation, context, interpretation, intervention, outcome and learning.</w:t>
      </w:r>
    </w:p>
    <w:p w14:paraId="5E38A0BB" w14:textId="77777777" w:rsidR="000F03B0" w:rsidRDefault="00C54930">
      <w:pPr>
        <w:spacing w:after="100" w:line="264" w:lineRule="auto"/>
      </w:pPr>
      <w:r>
        <w:rPr>
          <w:sz w:val="22"/>
        </w:rPr>
        <w:t>The destination is not a larger database or a more sophisticated dashboard. It is a healthcare environment capable of continuously developing its understanding of the individual, connecting what is being observed with what is clinically occurring, learning from what follows intervention, preserving what experience proves useful, and making that accumulated intelligence available when it can improve what happens next.</w:t>
      </w:r>
    </w:p>
    <w:p w14:paraId="3D7B0EAF" w14:textId="77777777" w:rsidR="000F03B0" w:rsidRDefault="00C54930">
      <w:pPr>
        <w:spacing w:after="100" w:line="264" w:lineRule="auto"/>
      </w:pPr>
      <w:r>
        <w:rPr>
          <w:sz w:val="22"/>
        </w:rPr>
        <w:t>Healthcare has spent decades improving its ability to record experience. The next advance is to connect those experiences sufficiently that healthcare can learn from them. And once healthcare can learn continuously from experience, it becomes increasingly capable of carrying that learning forward.</w:t>
      </w:r>
    </w:p>
    <w:p w14:paraId="34EF26DE" w14:textId="77777777" w:rsidR="000F03B0" w:rsidRDefault="00C54930">
      <w:r>
        <w:rPr>
          <w:b/>
          <w:color w:val="123B6D"/>
          <w:sz w:val="22"/>
        </w:rPr>
        <w:t>That is the promise of longitudinal health intelligence.</w:t>
      </w:r>
    </w:p>
    <w:sectPr w:rsidR="000F03B0" w:rsidSect="00034616">
      <w:footerReference w:type="default" r:id="rId9"/>
      <w:pgSz w:w="12240" w:h="15840"/>
      <w:pgMar w:top="648" w:right="792" w:bottom="648"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0629F" w14:textId="77777777" w:rsidR="00C54930" w:rsidRDefault="00C54930">
      <w:pPr>
        <w:spacing w:after="0" w:line="240" w:lineRule="auto"/>
      </w:pPr>
      <w:r>
        <w:separator/>
      </w:r>
    </w:p>
  </w:endnote>
  <w:endnote w:type="continuationSeparator" w:id="0">
    <w:p w14:paraId="278D6612" w14:textId="77777777" w:rsidR="00C54930" w:rsidRDefault="00C549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27E4C" w14:textId="77777777" w:rsidR="000F03B0" w:rsidRDefault="00C54930">
    <w:pPr>
      <w:pStyle w:val="Footer"/>
      <w:jc w:val="center"/>
    </w:pPr>
    <w:r>
      <w:rPr>
        <w:color w:val="5B6573"/>
        <w:sz w:val="15"/>
      </w:rPr>
      <w:t>Longitudinal Health Intelligence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5D0AD" w14:textId="77777777" w:rsidR="00C54930" w:rsidRDefault="00C54930">
      <w:pPr>
        <w:spacing w:after="0" w:line="240" w:lineRule="auto"/>
      </w:pPr>
      <w:r>
        <w:separator/>
      </w:r>
    </w:p>
  </w:footnote>
  <w:footnote w:type="continuationSeparator" w:id="0">
    <w:p w14:paraId="49718ED1" w14:textId="77777777" w:rsidR="00C54930" w:rsidRDefault="00C549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87237651">
    <w:abstractNumId w:val="8"/>
  </w:num>
  <w:num w:numId="2" w16cid:durableId="632641382">
    <w:abstractNumId w:val="6"/>
  </w:num>
  <w:num w:numId="3" w16cid:durableId="660237476">
    <w:abstractNumId w:val="5"/>
  </w:num>
  <w:num w:numId="4" w16cid:durableId="1192377313">
    <w:abstractNumId w:val="4"/>
  </w:num>
  <w:num w:numId="5" w16cid:durableId="1357348443">
    <w:abstractNumId w:val="7"/>
  </w:num>
  <w:num w:numId="6" w16cid:durableId="1684699467">
    <w:abstractNumId w:val="3"/>
  </w:num>
  <w:num w:numId="7" w16cid:durableId="1047755972">
    <w:abstractNumId w:val="2"/>
  </w:num>
  <w:num w:numId="8" w16cid:durableId="1615481101">
    <w:abstractNumId w:val="1"/>
  </w:num>
  <w:num w:numId="9" w16cid:durableId="252206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03B0"/>
    <w:rsid w:val="0015074B"/>
    <w:rsid w:val="0029639D"/>
    <w:rsid w:val="00326F90"/>
    <w:rsid w:val="007A7EF2"/>
    <w:rsid w:val="007F094A"/>
    <w:rsid w:val="00AA1D8D"/>
    <w:rsid w:val="00B47730"/>
    <w:rsid w:val="00C549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45C259"/>
  <w14:defaultImageDpi w14:val="300"/>
  <w15:docId w15:val="{303FF53F-7173-473A-8157-CE7813126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1456</Words>
  <Characters>8304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John Strucke</cp:lastModifiedBy>
  <cp:revision>2</cp:revision>
  <dcterms:created xsi:type="dcterms:W3CDTF">2026-09-04T17:07:00Z</dcterms:created>
  <dcterms:modified xsi:type="dcterms:W3CDTF">2026-09-04T17:07:00Z</dcterms:modified>
  <cp:category/>
</cp:coreProperties>
</file>